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1A461">
      <w:pPr>
        <w:spacing w:before="240" w:line="360" w:lineRule="auto"/>
        <w:jc w:val="center"/>
        <w:rPr>
          <w:rFonts w:ascii="黑体" w:eastAsia="黑体"/>
          <w:color w:val="000000"/>
          <w:sz w:val="36"/>
        </w:rPr>
      </w:pPr>
    </w:p>
    <w:p w14:paraId="2FFC07DD">
      <w:pPr>
        <w:spacing w:before="240" w:line="360" w:lineRule="auto"/>
        <w:jc w:val="center"/>
        <w:rPr>
          <w:rFonts w:ascii="黑体" w:eastAsia="黑体"/>
          <w:color w:val="000000"/>
          <w:sz w:val="36"/>
        </w:rPr>
      </w:pPr>
    </w:p>
    <w:p w14:paraId="72C66F0A">
      <w:pPr>
        <w:spacing w:before="240" w:line="360" w:lineRule="auto"/>
        <w:jc w:val="center"/>
        <w:rPr>
          <w:rFonts w:ascii="黑体" w:eastAsia="黑体"/>
          <w:color w:val="000000"/>
          <w:sz w:val="52"/>
        </w:rPr>
      </w:pPr>
      <w:r>
        <w:rPr>
          <w:rFonts w:hint="eastAsia" w:ascii="黑体" w:eastAsia="黑体"/>
          <w:color w:val="000000"/>
          <w:sz w:val="36"/>
        </w:rPr>
        <w:drawing>
          <wp:anchor distT="0" distB="0" distL="114300" distR="114300" simplePos="0" relativeHeight="251659264" behindDoc="0" locked="0" layoutInCell="0" allowOverlap="1">
            <wp:simplePos x="0" y="0"/>
            <wp:positionH relativeFrom="column">
              <wp:posOffset>2124710</wp:posOffset>
            </wp:positionH>
            <wp:positionV relativeFrom="paragraph">
              <wp:posOffset>59690</wp:posOffset>
            </wp:positionV>
            <wp:extent cx="2061210" cy="125920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11">
                      <a:lum contrast="6000"/>
                      <a:extLst>
                        <a:ext uri="{28A0092B-C50C-407E-A947-70E740481C1C}">
                          <a14:useLocalDpi xmlns:a14="http://schemas.microsoft.com/office/drawing/2010/main" val="0"/>
                        </a:ext>
                      </a:extLst>
                    </a:blip>
                    <a:srcRect/>
                    <a:stretch>
                      <a:fillRect/>
                    </a:stretch>
                  </pic:blipFill>
                  <pic:spPr>
                    <a:xfrm>
                      <a:off x="0" y="0"/>
                      <a:ext cx="2061269" cy="1259456"/>
                    </a:xfrm>
                    <a:prstGeom prst="rect">
                      <a:avLst/>
                    </a:prstGeom>
                    <a:noFill/>
                    <a:ln>
                      <a:noFill/>
                    </a:ln>
                  </pic:spPr>
                </pic:pic>
              </a:graphicData>
            </a:graphic>
          </wp:anchor>
        </w:drawing>
      </w:r>
    </w:p>
    <w:p w14:paraId="419ED6F5">
      <w:pPr>
        <w:spacing w:before="240" w:line="360" w:lineRule="auto"/>
        <w:jc w:val="center"/>
        <w:rPr>
          <w:rFonts w:ascii="黑体" w:eastAsia="黑体"/>
          <w:color w:val="000000"/>
          <w:sz w:val="36"/>
        </w:rPr>
      </w:pPr>
    </w:p>
    <w:p w14:paraId="05A94674">
      <w:pPr>
        <w:spacing w:before="240" w:line="360" w:lineRule="auto"/>
        <w:jc w:val="center"/>
        <w:rPr>
          <w:rFonts w:ascii="黑体" w:eastAsia="黑体"/>
          <w:color w:val="000000"/>
          <w:sz w:val="36"/>
        </w:rPr>
      </w:pPr>
    </w:p>
    <w:p w14:paraId="4A0094A0">
      <w:pPr>
        <w:spacing w:before="240" w:line="360" w:lineRule="auto"/>
        <w:jc w:val="center"/>
        <w:rPr>
          <w:rFonts w:ascii="黑体" w:eastAsia="黑体"/>
          <w:color w:val="000000"/>
          <w:sz w:val="36"/>
        </w:rPr>
      </w:pPr>
      <w:r>
        <w:rPr>
          <w:rFonts w:hint="eastAsia" w:ascii="黑体" w:eastAsia="黑体"/>
          <w:color w:val="000000"/>
          <w:sz w:val="52"/>
        </w:rPr>
        <w:t>北京中大华远认证中心有限公司</w:t>
      </w:r>
    </w:p>
    <w:p w14:paraId="135298B7">
      <w:pPr>
        <w:spacing w:before="360" w:line="360" w:lineRule="auto"/>
        <w:jc w:val="center"/>
        <w:rPr>
          <w:rFonts w:ascii="黑体" w:eastAsia="黑体"/>
          <w:color w:val="000000"/>
          <w:sz w:val="52"/>
        </w:rPr>
      </w:pPr>
      <w:r>
        <w:rPr>
          <w:rFonts w:hint="eastAsia" w:ascii="黑体" w:eastAsia="黑体"/>
          <w:color w:val="000000"/>
          <w:sz w:val="52"/>
        </w:rPr>
        <w:t>管理类评价项目注册合同书</w:t>
      </w:r>
    </w:p>
    <w:p w14:paraId="62B96F1B">
      <w:pPr>
        <w:spacing w:before="480" w:line="360" w:lineRule="auto"/>
        <w:jc w:val="center"/>
        <w:rPr>
          <w:rFonts w:ascii="黑体" w:eastAsia="黑体"/>
          <w:color w:val="000000"/>
          <w:sz w:val="30"/>
        </w:rPr>
      </w:pPr>
    </w:p>
    <w:p w14:paraId="7EE85BB6">
      <w:pPr>
        <w:spacing w:before="480" w:line="360" w:lineRule="auto"/>
        <w:jc w:val="center"/>
        <w:rPr>
          <w:rFonts w:ascii="黑体" w:eastAsia="黑体"/>
          <w:color w:val="000000"/>
          <w:sz w:val="30"/>
        </w:rPr>
      </w:pPr>
    </w:p>
    <w:p w14:paraId="33134D74">
      <w:pPr>
        <w:spacing w:before="480" w:line="360" w:lineRule="auto"/>
        <w:jc w:val="center"/>
        <w:rPr>
          <w:rFonts w:ascii="黑体" w:eastAsia="黑体"/>
          <w:color w:val="000000"/>
          <w:sz w:val="30"/>
        </w:rPr>
      </w:pPr>
    </w:p>
    <w:p w14:paraId="068F2A32">
      <w:pPr>
        <w:spacing w:before="480" w:line="360" w:lineRule="auto"/>
        <w:jc w:val="center"/>
        <w:rPr>
          <w:rFonts w:ascii="黑体" w:eastAsia="黑体"/>
          <w:color w:val="000000"/>
          <w:sz w:val="30"/>
        </w:rPr>
      </w:pPr>
    </w:p>
    <w:p w14:paraId="3D52657B">
      <w:pPr>
        <w:spacing w:before="360" w:line="360" w:lineRule="auto"/>
        <w:ind w:firstLine="708" w:firstLineChars="236"/>
        <w:jc w:val="left"/>
        <w:rPr>
          <w:rFonts w:ascii="黑体" w:eastAsia="黑体"/>
          <w:color w:val="000000"/>
          <w:sz w:val="30"/>
        </w:rPr>
      </w:pPr>
      <w:r>
        <w:rPr>
          <w:rFonts w:hint="eastAsia" w:ascii="黑体" w:eastAsia="黑体"/>
          <w:color w:val="000000"/>
          <w:sz w:val="30"/>
        </w:rPr>
        <w:t>申请组织名称</w:t>
      </w:r>
      <w:r>
        <w:rPr>
          <w:rFonts w:hint="eastAsia" w:ascii="黑体" w:eastAsia="黑体"/>
          <w:color w:val="000000"/>
          <w:sz w:val="30"/>
          <w:u w:val="single"/>
        </w:rPr>
        <w:t xml:space="preserve">：                                  </w:t>
      </w:r>
    </w:p>
    <w:p w14:paraId="1D0BE4B2">
      <w:pPr>
        <w:spacing w:before="360" w:line="360" w:lineRule="auto"/>
        <w:jc w:val="center"/>
        <w:rPr>
          <w:rFonts w:ascii="黑体" w:eastAsia="黑体"/>
          <w:color w:val="000000"/>
          <w:sz w:val="30"/>
        </w:rPr>
        <w:sectPr>
          <w:headerReference r:id="rId5" w:type="default"/>
          <w:footerReference r:id="rId6" w:type="default"/>
          <w:footerReference r:id="rId7" w:type="even"/>
          <w:endnotePr>
            <w:numFmt w:val="decimal"/>
          </w:endnotePr>
          <w:pgSz w:w="11907" w:h="16840"/>
          <w:pgMar w:top="1134" w:right="1191" w:bottom="907" w:left="1191" w:header="1134" w:footer="635" w:gutter="0"/>
          <w:cols w:space="720" w:num="1"/>
          <w:docGrid w:linePitch="285" w:charSpace="0"/>
        </w:sectPr>
      </w:pPr>
    </w:p>
    <w:tbl>
      <w:tblPr>
        <w:tblStyle w:val="5"/>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Pr>
      <w:tblGrid>
        <w:gridCol w:w="1139"/>
        <w:gridCol w:w="16"/>
        <w:gridCol w:w="1680"/>
        <w:gridCol w:w="856"/>
        <w:gridCol w:w="1134"/>
        <w:gridCol w:w="1554"/>
        <w:gridCol w:w="714"/>
        <w:gridCol w:w="2777"/>
      </w:tblGrid>
      <w:tr w14:paraId="1CF88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7E64AA26">
            <w:pPr>
              <w:spacing w:line="380" w:lineRule="exact"/>
              <w:rPr>
                <w:rFonts w:ascii="黑体" w:hAnsi="黑体" w:eastAsia="黑体"/>
                <w:sz w:val="28"/>
                <w:szCs w:val="28"/>
              </w:rPr>
            </w:pPr>
            <w:r>
              <w:rPr>
                <w:rFonts w:hint="eastAsia" w:ascii="黑体" w:hAnsi="黑体" w:eastAsia="黑体"/>
                <w:sz w:val="28"/>
                <w:szCs w:val="28"/>
              </w:rPr>
              <w:t>甲方（申请认证组织）</w:t>
            </w:r>
          </w:p>
        </w:tc>
        <w:tc>
          <w:tcPr>
            <w:tcW w:w="7035" w:type="dxa"/>
            <w:gridSpan w:val="5"/>
            <w:noWrap w:val="0"/>
            <w:vAlign w:val="center"/>
          </w:tcPr>
          <w:p w14:paraId="300C58A9">
            <w:pPr>
              <w:spacing w:line="380" w:lineRule="exact"/>
              <w:rPr>
                <w:rFonts w:hint="default" w:ascii="黑体" w:hAnsi="黑体" w:eastAsia="黑体"/>
                <w:sz w:val="28"/>
                <w:szCs w:val="28"/>
                <w:lang w:val="en-US" w:eastAsia="zh-CN"/>
              </w:rPr>
            </w:pPr>
          </w:p>
        </w:tc>
      </w:tr>
      <w:tr w14:paraId="1CC07B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604A03EB">
            <w:pPr>
              <w:spacing w:line="380" w:lineRule="exact"/>
              <w:rPr>
                <w:rFonts w:ascii="黑体" w:hAnsi="黑体" w:eastAsia="黑体"/>
                <w:sz w:val="28"/>
                <w:szCs w:val="28"/>
              </w:rPr>
            </w:pPr>
            <w:r>
              <w:rPr>
                <w:rFonts w:hint="eastAsia" w:ascii="黑体" w:hAnsi="黑体" w:eastAsia="黑体"/>
                <w:sz w:val="28"/>
                <w:szCs w:val="28"/>
              </w:rPr>
              <w:t>营业执照地址</w:t>
            </w:r>
          </w:p>
        </w:tc>
        <w:tc>
          <w:tcPr>
            <w:tcW w:w="7035" w:type="dxa"/>
            <w:gridSpan w:val="5"/>
            <w:noWrap w:val="0"/>
            <w:vAlign w:val="center"/>
          </w:tcPr>
          <w:p w14:paraId="57826C29">
            <w:pPr>
              <w:spacing w:line="380" w:lineRule="exact"/>
              <w:rPr>
                <w:rFonts w:hint="default" w:ascii="黑体" w:hAnsi="黑体" w:eastAsia="黑体"/>
                <w:sz w:val="28"/>
                <w:szCs w:val="28"/>
                <w:u w:val="none"/>
                <w:lang w:val="en-US" w:eastAsia="zh-CN"/>
              </w:rPr>
            </w:pPr>
          </w:p>
        </w:tc>
      </w:tr>
      <w:tr w14:paraId="2FB10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39" w:type="dxa"/>
            <w:noWrap w:val="0"/>
            <w:vAlign w:val="center"/>
          </w:tcPr>
          <w:p w14:paraId="4B2A0074">
            <w:pPr>
              <w:spacing w:line="380" w:lineRule="exact"/>
              <w:rPr>
                <w:rFonts w:ascii="黑体" w:hAnsi="黑体" w:eastAsia="黑体"/>
                <w:sz w:val="28"/>
                <w:szCs w:val="28"/>
              </w:rPr>
            </w:pPr>
            <w:r>
              <w:rPr>
                <w:rFonts w:hint="eastAsia" w:ascii="黑体" w:hAnsi="黑体" w:eastAsia="黑体"/>
                <w:sz w:val="28"/>
                <w:szCs w:val="28"/>
              </w:rPr>
              <w:t>联系人</w:t>
            </w:r>
          </w:p>
        </w:tc>
        <w:tc>
          <w:tcPr>
            <w:tcW w:w="1696" w:type="dxa"/>
            <w:gridSpan w:val="2"/>
            <w:noWrap w:val="0"/>
            <w:vAlign w:val="center"/>
          </w:tcPr>
          <w:p w14:paraId="735FA617">
            <w:pPr>
              <w:spacing w:line="380" w:lineRule="exact"/>
              <w:rPr>
                <w:rFonts w:hint="default" w:ascii="黑体" w:hAnsi="黑体" w:eastAsia="黑体"/>
                <w:sz w:val="28"/>
                <w:szCs w:val="28"/>
                <w:lang w:val="en-US" w:eastAsia="zh-CN"/>
              </w:rPr>
            </w:pPr>
          </w:p>
        </w:tc>
        <w:tc>
          <w:tcPr>
            <w:tcW w:w="856" w:type="dxa"/>
            <w:noWrap w:val="0"/>
            <w:vAlign w:val="center"/>
          </w:tcPr>
          <w:p w14:paraId="0E49E4EE">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noWrap w:val="0"/>
            <w:vAlign w:val="center"/>
          </w:tcPr>
          <w:p w14:paraId="420181AC">
            <w:pPr>
              <w:spacing w:line="380" w:lineRule="exact"/>
              <w:rPr>
                <w:rFonts w:hint="default" w:ascii="黑体" w:hAnsi="黑体" w:eastAsia="黑体"/>
                <w:sz w:val="28"/>
                <w:szCs w:val="28"/>
                <w:lang w:val="en-US" w:eastAsia="zh-CN"/>
              </w:rPr>
            </w:pPr>
          </w:p>
        </w:tc>
        <w:tc>
          <w:tcPr>
            <w:tcW w:w="714" w:type="dxa"/>
            <w:noWrap w:val="0"/>
            <w:vAlign w:val="center"/>
          </w:tcPr>
          <w:p w14:paraId="7BD258BF">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noWrap w:val="0"/>
            <w:vAlign w:val="center"/>
          </w:tcPr>
          <w:p w14:paraId="3AB4598F">
            <w:pPr>
              <w:spacing w:line="380" w:lineRule="exact"/>
              <w:rPr>
                <w:rFonts w:hint="eastAsia" w:ascii="黑体" w:hAnsi="黑体" w:eastAsia="黑体"/>
                <w:sz w:val="28"/>
                <w:szCs w:val="28"/>
              </w:rPr>
            </w:pPr>
          </w:p>
        </w:tc>
      </w:tr>
      <w:tr w14:paraId="70D3F3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350CFD57">
            <w:pPr>
              <w:spacing w:line="380" w:lineRule="exact"/>
              <w:rPr>
                <w:rFonts w:ascii="黑体" w:hAnsi="黑体" w:eastAsia="黑体"/>
                <w:sz w:val="28"/>
                <w:szCs w:val="28"/>
              </w:rPr>
            </w:pPr>
            <w:r>
              <w:rPr>
                <w:rFonts w:hint="eastAsia" w:ascii="黑体" w:hAnsi="黑体" w:eastAsia="黑体"/>
                <w:sz w:val="28"/>
                <w:szCs w:val="28"/>
              </w:rPr>
              <w:t>乙方（发证方）：</w:t>
            </w:r>
          </w:p>
        </w:tc>
        <w:tc>
          <w:tcPr>
            <w:tcW w:w="7035" w:type="dxa"/>
            <w:gridSpan w:val="5"/>
            <w:noWrap w:val="0"/>
            <w:vAlign w:val="center"/>
          </w:tcPr>
          <w:p w14:paraId="00F666A7">
            <w:pPr>
              <w:spacing w:line="380" w:lineRule="exact"/>
              <w:rPr>
                <w:rFonts w:hint="eastAsia" w:ascii="黑体" w:hAnsi="黑体" w:eastAsia="黑体"/>
                <w:sz w:val="28"/>
                <w:szCs w:val="28"/>
                <w:lang w:eastAsia="zh-CN"/>
              </w:rPr>
            </w:pPr>
            <w:r>
              <w:rPr>
                <w:rFonts w:hint="eastAsia" w:ascii="黑体" w:hAnsi="黑体" w:eastAsia="黑体"/>
                <w:sz w:val="28"/>
                <w:szCs w:val="28"/>
                <w:lang w:eastAsia="zh-CN"/>
              </w:rPr>
              <w:t>北京中大华远认证中心有限公司</w:t>
            </w:r>
          </w:p>
        </w:tc>
      </w:tr>
      <w:tr w14:paraId="6EE000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FC8CA8">
            <w:pPr>
              <w:spacing w:line="380" w:lineRule="exact"/>
              <w:rPr>
                <w:rFonts w:hint="eastAsia" w:ascii="黑体" w:hAnsi="黑体" w:eastAsia="黑体"/>
                <w:sz w:val="28"/>
                <w:szCs w:val="28"/>
              </w:rPr>
            </w:pPr>
            <w:r>
              <w:rPr>
                <w:rFonts w:hint="eastAsia" w:ascii="黑体" w:hAnsi="黑体" w:eastAsia="黑体"/>
                <w:sz w:val="28"/>
                <w:szCs w:val="28"/>
              </w:rPr>
              <w:t>地址及邮政编码：</w:t>
            </w:r>
          </w:p>
        </w:tc>
        <w:tc>
          <w:tcPr>
            <w:tcW w:w="7035" w:type="dxa"/>
            <w:gridSpan w:val="5"/>
            <w:noWrap w:val="0"/>
            <w:vAlign w:val="center"/>
          </w:tcPr>
          <w:p w14:paraId="06AF7D39">
            <w:pPr>
              <w:spacing w:line="380" w:lineRule="exact"/>
              <w:rPr>
                <w:rFonts w:hint="eastAsia" w:ascii="黑体" w:hAnsi="黑体" w:eastAsia="黑体"/>
                <w:sz w:val="28"/>
                <w:szCs w:val="28"/>
              </w:rPr>
            </w:pPr>
            <w:r>
              <w:rPr>
                <w:rFonts w:hint="eastAsia" w:ascii="黑体" w:hAnsi="黑体" w:eastAsia="黑体"/>
                <w:sz w:val="28"/>
                <w:szCs w:val="28"/>
              </w:rPr>
              <w:t>北京市朝阳区西坝河西路3号楼  （100024）</w:t>
            </w:r>
          </w:p>
        </w:tc>
      </w:tr>
      <w:tr w14:paraId="09F648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8AAE08">
            <w:pPr>
              <w:spacing w:line="380" w:lineRule="exact"/>
              <w:rPr>
                <w:rFonts w:hint="eastAsia" w:ascii="黑体" w:hAnsi="黑体" w:eastAsia="黑体"/>
                <w:sz w:val="28"/>
                <w:szCs w:val="28"/>
              </w:rPr>
            </w:pPr>
            <w:r>
              <w:rPr>
                <w:rFonts w:hint="eastAsia" w:ascii="黑体" w:hAnsi="黑体" w:eastAsia="黑体"/>
                <w:sz w:val="28"/>
                <w:szCs w:val="28"/>
              </w:rPr>
              <w:t>乙方（</w:t>
            </w:r>
            <w:r>
              <w:rPr>
                <w:rFonts w:hint="eastAsia" w:ascii="黑体" w:hAnsi="黑体" w:eastAsia="黑体"/>
                <w:sz w:val="28"/>
                <w:szCs w:val="28"/>
                <w:lang w:val="en-US" w:eastAsia="zh-CN"/>
              </w:rPr>
              <w:t>评价</w:t>
            </w:r>
            <w:r>
              <w:rPr>
                <w:rFonts w:hint="eastAsia" w:ascii="黑体" w:hAnsi="黑体" w:eastAsia="黑体"/>
                <w:sz w:val="28"/>
                <w:szCs w:val="28"/>
              </w:rPr>
              <w:t>方）：</w:t>
            </w:r>
          </w:p>
        </w:tc>
        <w:tc>
          <w:tcPr>
            <w:tcW w:w="7035" w:type="dxa"/>
            <w:gridSpan w:val="5"/>
            <w:noWrap w:val="0"/>
            <w:vAlign w:val="center"/>
          </w:tcPr>
          <w:p w14:paraId="1AD00E08">
            <w:pPr>
              <w:spacing w:line="380" w:lineRule="exact"/>
              <w:rPr>
                <w:rFonts w:hint="eastAsia" w:ascii="黑体" w:hAnsi="黑体" w:eastAsia="黑体"/>
                <w:sz w:val="28"/>
                <w:szCs w:val="28"/>
              </w:rPr>
            </w:pPr>
            <w:r>
              <w:rPr>
                <w:rFonts w:hint="eastAsia" w:ascii="黑体" w:hAnsi="黑体" w:eastAsia="黑体"/>
                <w:sz w:val="28"/>
                <w:szCs w:val="28"/>
              </w:rPr>
              <w:t>中大华远认证中心（上海）有限公司</w:t>
            </w:r>
          </w:p>
        </w:tc>
      </w:tr>
      <w:tr w14:paraId="283105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03C13674">
            <w:pPr>
              <w:spacing w:line="380" w:lineRule="exact"/>
              <w:rPr>
                <w:rFonts w:ascii="黑体" w:hAnsi="黑体" w:eastAsia="黑体"/>
                <w:sz w:val="28"/>
                <w:szCs w:val="28"/>
              </w:rPr>
            </w:pPr>
            <w:r>
              <w:rPr>
                <w:rFonts w:hint="eastAsia" w:ascii="黑体" w:hAnsi="黑体" w:eastAsia="黑体"/>
                <w:sz w:val="28"/>
                <w:szCs w:val="28"/>
              </w:rPr>
              <w:t>地址及邮政编码：</w:t>
            </w:r>
          </w:p>
        </w:tc>
        <w:tc>
          <w:tcPr>
            <w:tcW w:w="7035" w:type="dxa"/>
            <w:gridSpan w:val="5"/>
            <w:noWrap w:val="0"/>
            <w:vAlign w:val="center"/>
          </w:tcPr>
          <w:p w14:paraId="79BA4FCD">
            <w:pPr>
              <w:spacing w:line="380" w:lineRule="exact"/>
              <w:rPr>
                <w:rFonts w:ascii="黑体" w:hAnsi="黑体" w:eastAsia="黑体"/>
                <w:sz w:val="28"/>
                <w:szCs w:val="28"/>
                <w:u w:val="single"/>
              </w:rPr>
            </w:pPr>
            <w:r>
              <w:rPr>
                <w:rFonts w:hint="eastAsia" w:ascii="黑体" w:hAnsi="黑体" w:eastAsia="黑体"/>
                <w:sz w:val="28"/>
                <w:szCs w:val="28"/>
              </w:rPr>
              <w:t>上海市</w:t>
            </w:r>
            <w:r>
              <w:rPr>
                <w:rFonts w:hint="eastAsia" w:ascii="黑体" w:hAnsi="黑体" w:eastAsia="黑体"/>
                <w:sz w:val="28"/>
                <w:szCs w:val="28"/>
                <w:lang w:val="en-US" w:eastAsia="zh-CN"/>
              </w:rPr>
              <w:t>徐汇区龙漕路299号1幢1002室</w:t>
            </w:r>
            <w:r>
              <w:rPr>
                <w:rFonts w:hint="eastAsia" w:ascii="黑体" w:hAnsi="黑体" w:eastAsia="黑体"/>
                <w:sz w:val="28"/>
                <w:szCs w:val="28"/>
              </w:rPr>
              <w:t>(2000</w:t>
            </w:r>
            <w:r>
              <w:rPr>
                <w:rFonts w:hint="eastAsia" w:ascii="黑体" w:hAnsi="黑体" w:eastAsia="黑体"/>
                <w:sz w:val="28"/>
                <w:szCs w:val="28"/>
                <w:lang w:val="en-US" w:eastAsia="zh-CN"/>
              </w:rPr>
              <w:t>3</w:t>
            </w:r>
            <w:r>
              <w:rPr>
                <w:rFonts w:hint="eastAsia" w:ascii="黑体" w:hAnsi="黑体" w:eastAsia="黑体"/>
                <w:sz w:val="28"/>
                <w:szCs w:val="28"/>
              </w:rPr>
              <w:t xml:space="preserve">0)   </w:t>
            </w:r>
          </w:p>
        </w:tc>
      </w:tr>
      <w:tr w14:paraId="0BA2AC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55" w:type="dxa"/>
            <w:gridSpan w:val="2"/>
            <w:noWrap w:val="0"/>
            <w:vAlign w:val="center"/>
          </w:tcPr>
          <w:p w14:paraId="55BDAC79">
            <w:pPr>
              <w:spacing w:line="380" w:lineRule="exact"/>
              <w:rPr>
                <w:rFonts w:ascii="黑体" w:hAnsi="黑体" w:eastAsia="黑体"/>
                <w:sz w:val="28"/>
                <w:szCs w:val="28"/>
              </w:rPr>
            </w:pPr>
            <w:r>
              <w:rPr>
                <w:rFonts w:hint="eastAsia" w:ascii="黑体" w:hAnsi="黑体" w:eastAsia="黑体"/>
                <w:sz w:val="28"/>
                <w:szCs w:val="28"/>
              </w:rPr>
              <w:t>联系人</w:t>
            </w:r>
          </w:p>
        </w:tc>
        <w:tc>
          <w:tcPr>
            <w:tcW w:w="1680" w:type="dxa"/>
            <w:noWrap w:val="0"/>
            <w:vAlign w:val="center"/>
          </w:tcPr>
          <w:p w14:paraId="36ECE945">
            <w:pPr>
              <w:spacing w:line="380" w:lineRule="exact"/>
              <w:rPr>
                <w:rFonts w:hint="eastAsia" w:ascii="黑体" w:hAnsi="黑体" w:eastAsia="黑体"/>
                <w:sz w:val="28"/>
                <w:szCs w:val="28"/>
              </w:rPr>
            </w:pPr>
            <w:r>
              <w:rPr>
                <w:rFonts w:hint="eastAsia" w:ascii="黑体" w:hAnsi="黑体" w:eastAsia="黑体"/>
                <w:sz w:val="28"/>
                <w:szCs w:val="28"/>
              </w:rPr>
              <w:t>薛慧琦</w:t>
            </w:r>
          </w:p>
          <w:p w14:paraId="5AE23E06">
            <w:pPr>
              <w:spacing w:line="380" w:lineRule="exact"/>
              <w:rPr>
                <w:rFonts w:hint="default" w:ascii="黑体" w:hAnsi="黑体" w:eastAsia="黑体"/>
                <w:sz w:val="28"/>
                <w:szCs w:val="28"/>
                <w:lang w:val="en-US" w:eastAsia="zh-CN"/>
              </w:rPr>
            </w:pPr>
            <w:r>
              <w:rPr>
                <w:rFonts w:hint="eastAsia" w:ascii="黑体" w:hAnsi="黑体" w:eastAsia="黑体"/>
                <w:sz w:val="28"/>
                <w:szCs w:val="28"/>
                <w:lang w:val="en-US" w:eastAsia="zh-CN"/>
              </w:rPr>
              <w:t>林  赟</w:t>
            </w:r>
          </w:p>
        </w:tc>
        <w:tc>
          <w:tcPr>
            <w:tcW w:w="856" w:type="dxa"/>
            <w:noWrap w:val="0"/>
            <w:vAlign w:val="center"/>
          </w:tcPr>
          <w:p w14:paraId="46747E83">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noWrap w:val="0"/>
            <w:vAlign w:val="center"/>
          </w:tcPr>
          <w:p w14:paraId="3CEA4962">
            <w:pPr>
              <w:spacing w:line="380" w:lineRule="exact"/>
              <w:rPr>
                <w:rFonts w:hint="eastAsia" w:ascii="黑体" w:hAnsi="黑体" w:eastAsia="黑体"/>
                <w:sz w:val="28"/>
                <w:szCs w:val="28"/>
              </w:rPr>
            </w:pPr>
            <w:r>
              <w:rPr>
                <w:rFonts w:hint="eastAsia" w:ascii="黑体" w:hAnsi="黑体" w:eastAsia="黑体"/>
                <w:sz w:val="28"/>
                <w:szCs w:val="28"/>
              </w:rPr>
              <w:t>(021) 63267993</w:t>
            </w:r>
          </w:p>
          <w:p w14:paraId="0885F07A">
            <w:pPr>
              <w:spacing w:line="380" w:lineRule="exact"/>
              <w:ind w:firstLine="840" w:firstLineChars="300"/>
              <w:rPr>
                <w:rFonts w:hint="eastAsia" w:ascii="黑体" w:hAnsi="黑体" w:eastAsia="黑体"/>
                <w:sz w:val="28"/>
                <w:szCs w:val="28"/>
              </w:rPr>
            </w:pPr>
            <w:r>
              <w:rPr>
                <w:rFonts w:hint="eastAsia" w:ascii="黑体" w:hAnsi="黑体" w:eastAsia="黑体"/>
                <w:sz w:val="28"/>
                <w:szCs w:val="28"/>
              </w:rPr>
              <w:t>62497709</w:t>
            </w:r>
          </w:p>
        </w:tc>
        <w:tc>
          <w:tcPr>
            <w:tcW w:w="714" w:type="dxa"/>
            <w:noWrap w:val="0"/>
            <w:vAlign w:val="center"/>
          </w:tcPr>
          <w:p w14:paraId="4E899F31">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noWrap w:val="0"/>
            <w:vAlign w:val="center"/>
          </w:tcPr>
          <w:p w14:paraId="41ADB298">
            <w:pPr>
              <w:spacing w:line="380" w:lineRule="exact"/>
              <w:rPr>
                <w:rFonts w:hint="eastAsia" w:ascii="黑体" w:hAnsi="黑体" w:eastAsia="黑体"/>
                <w:sz w:val="28"/>
                <w:szCs w:val="28"/>
              </w:rPr>
            </w:pPr>
            <w:r>
              <w:rPr>
                <w:rFonts w:hint="eastAsia" w:ascii="黑体" w:hAnsi="黑体" w:eastAsia="黑体"/>
                <w:sz w:val="28"/>
                <w:szCs w:val="28"/>
              </w:rPr>
              <w:t>(021)63267881</w:t>
            </w:r>
          </w:p>
        </w:tc>
      </w:tr>
      <w:tr w14:paraId="1F4DAF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4825" w:type="dxa"/>
            <w:gridSpan w:val="5"/>
            <w:noWrap w:val="0"/>
            <w:vAlign w:val="center"/>
          </w:tcPr>
          <w:p w14:paraId="68FA13EF">
            <w:pPr>
              <w:spacing w:line="380" w:lineRule="exact"/>
              <w:ind w:left="141" w:leftChars="67"/>
              <w:rPr>
                <w:rFonts w:hint="eastAsia" w:ascii="黑体" w:hAnsi="黑体" w:eastAsia="黑体"/>
                <w:sz w:val="28"/>
                <w:szCs w:val="28"/>
              </w:rPr>
            </w:pPr>
            <w:r>
              <w:rPr>
                <w:rFonts w:hint="eastAsia" w:ascii="黑体" w:hAnsi="黑体" w:eastAsia="黑体"/>
                <w:sz w:val="28"/>
                <w:szCs w:val="28"/>
              </w:rPr>
              <w:t>E-</w:t>
            </w:r>
            <w:r>
              <w:rPr>
                <w:rFonts w:ascii="黑体" w:hAnsi="黑体" w:eastAsia="黑体"/>
                <w:sz w:val="28"/>
                <w:szCs w:val="28"/>
              </w:rPr>
              <w:t>mail:</w:t>
            </w:r>
            <w:r>
              <w:rPr>
                <w:rFonts w:hint="eastAsia" w:ascii="黑体" w:hAnsi="黑体" w:eastAsia="黑体"/>
                <w:sz w:val="28"/>
                <w:szCs w:val="28"/>
              </w:rPr>
              <w:t xml:space="preserve"> ccxqsh@163.net</w:t>
            </w:r>
          </w:p>
        </w:tc>
        <w:tc>
          <w:tcPr>
            <w:tcW w:w="5045" w:type="dxa"/>
            <w:gridSpan w:val="3"/>
            <w:noWrap w:val="0"/>
            <w:vAlign w:val="center"/>
          </w:tcPr>
          <w:p w14:paraId="28313A41">
            <w:pPr>
              <w:rPr>
                <w:rFonts w:hint="eastAsia" w:ascii="黑体" w:hAnsi="黑体" w:eastAsia="黑体"/>
                <w:sz w:val="28"/>
                <w:szCs w:val="28"/>
              </w:rPr>
            </w:pPr>
            <w:r>
              <w:rPr>
                <w:rFonts w:hint="eastAsia" w:ascii="黑体" w:hAnsi="黑体" w:eastAsia="黑体"/>
                <w:sz w:val="28"/>
                <w:szCs w:val="28"/>
              </w:rPr>
              <w:t>网址:www.zdhysh.com</w:t>
            </w:r>
          </w:p>
        </w:tc>
      </w:tr>
    </w:tbl>
    <w:p w14:paraId="3C8F489E">
      <w:pPr>
        <w:spacing w:before="120" w:beforeLines="50" w:line="360" w:lineRule="auto"/>
        <w:ind w:firstLine="568" w:firstLineChars="202"/>
        <w:jc w:val="left"/>
        <w:rPr>
          <w:color w:val="000000"/>
          <w:sz w:val="24"/>
        </w:rPr>
      </w:pPr>
      <w:r>
        <w:rPr>
          <w:rFonts w:hint="eastAsia" w:ascii="宋体" w:hAnsi="宋体"/>
          <w:b/>
          <w:color w:val="000000"/>
          <w:sz w:val="28"/>
          <w:szCs w:val="28"/>
        </w:rPr>
        <w:t>就有关评价事宜，经甲乙双方协商一致，在甲方向乙方提交《管理类评价项目申请书》，并经乙方合同评审后，签订合同如下：</w:t>
      </w:r>
    </w:p>
    <w:p w14:paraId="5FE1A499">
      <w:pPr>
        <w:snapToGrid w:val="0"/>
        <w:spacing w:before="240" w:beforeLines="100" w:line="480" w:lineRule="exact"/>
        <w:jc w:val="left"/>
        <w:rPr>
          <w:rFonts w:hint="eastAsia" w:ascii="宋体" w:hAnsi="宋体"/>
          <w:b/>
          <w:color w:val="000000"/>
          <w:sz w:val="28"/>
          <w:szCs w:val="28"/>
        </w:rPr>
      </w:pPr>
      <w:r>
        <w:rPr>
          <w:rFonts w:hint="eastAsia" w:ascii="宋体" w:hAnsi="宋体"/>
          <w:b/>
          <w:color w:val="000000"/>
          <w:sz w:val="28"/>
          <w:szCs w:val="28"/>
        </w:rPr>
        <w:t>一、</w:t>
      </w:r>
      <w:r>
        <w:rPr>
          <w:rFonts w:hint="eastAsia" w:ascii="宋体" w:hAnsi="宋体"/>
          <w:b/>
          <w:bCs/>
          <w:color w:val="000000"/>
          <w:sz w:val="28"/>
          <w:szCs w:val="28"/>
        </w:rPr>
        <w:t>评价项目的内容和要求</w:t>
      </w:r>
    </w:p>
    <w:p w14:paraId="6E745B32">
      <w:pPr>
        <w:adjustRightInd/>
        <w:spacing w:before="60" w:beforeLines="25" w:after="84" w:afterLines="35" w:line="480" w:lineRule="exact"/>
        <w:jc w:val="left"/>
        <w:textAlignment w:val="auto"/>
        <w:rPr>
          <w:rFonts w:hint="eastAsia" w:ascii="宋体" w:hAnsi="宋体"/>
          <w:bCs/>
          <w:color w:val="000000"/>
          <w:sz w:val="28"/>
          <w:szCs w:val="28"/>
        </w:rPr>
      </w:pPr>
      <w:r>
        <w:rPr>
          <w:rFonts w:hint="eastAsia" w:ascii="宋体" w:hAnsi="宋体"/>
          <w:bCs/>
          <w:color w:val="000000"/>
          <w:sz w:val="28"/>
          <w:szCs w:val="28"/>
        </w:rPr>
        <w:t>1.甲方向乙方申请以下领域评价：</w:t>
      </w:r>
      <w:r>
        <w:rPr>
          <w:rFonts w:ascii="宋体" w:hAnsi="宋体"/>
          <w:bCs/>
          <w:color w:val="000000"/>
          <w:sz w:val="28"/>
          <w:szCs w:val="28"/>
        </w:rPr>
        <w:t xml:space="preserve"> </w:t>
      </w:r>
    </w:p>
    <w:tbl>
      <w:tblPr>
        <w:tblStyle w:val="5"/>
        <w:tblW w:w="9923"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835"/>
        <w:gridCol w:w="5387"/>
        <w:gridCol w:w="1701"/>
      </w:tblGrid>
      <w:tr w14:paraId="3BFF55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4" w:hRule="atLeast"/>
        </w:trPr>
        <w:tc>
          <w:tcPr>
            <w:tcW w:w="2835" w:type="dxa"/>
            <w:vAlign w:val="center"/>
          </w:tcPr>
          <w:p w14:paraId="00DB704C">
            <w:pPr>
              <w:spacing w:line="360" w:lineRule="exact"/>
              <w:jc w:val="center"/>
              <w:rPr>
                <w:rFonts w:hint="eastAsia" w:ascii="宋体" w:hAnsi="宋体" w:cs="宋体"/>
                <w:b/>
                <w:color w:val="000000"/>
                <w:sz w:val="24"/>
                <w:szCs w:val="24"/>
              </w:rPr>
            </w:pPr>
            <w:r>
              <w:rPr>
                <w:rFonts w:hint="eastAsia" w:ascii="宋体" w:hAnsi="宋体" w:cs="宋体"/>
                <w:b/>
                <w:color w:val="000000"/>
                <w:sz w:val="24"/>
                <w:szCs w:val="24"/>
              </w:rPr>
              <w:t>　评价项目</w:t>
            </w:r>
          </w:p>
        </w:tc>
        <w:tc>
          <w:tcPr>
            <w:tcW w:w="5387" w:type="dxa"/>
            <w:vAlign w:val="center"/>
          </w:tcPr>
          <w:p w14:paraId="7D6FD312">
            <w:pPr>
              <w:spacing w:line="360" w:lineRule="exact"/>
              <w:jc w:val="center"/>
              <w:rPr>
                <w:rFonts w:hint="eastAsia" w:ascii="宋体" w:hAnsi="宋体" w:cs="宋体"/>
                <w:b/>
                <w:color w:val="000000"/>
                <w:sz w:val="24"/>
                <w:szCs w:val="24"/>
              </w:rPr>
            </w:pPr>
            <w:r>
              <w:rPr>
                <w:rFonts w:hint="eastAsia" w:ascii="宋体" w:hAnsi="宋体" w:cs="宋体"/>
                <w:b/>
                <w:color w:val="000000"/>
                <w:sz w:val="24"/>
                <w:szCs w:val="24"/>
              </w:rPr>
              <w:t>评价依据</w:t>
            </w:r>
          </w:p>
        </w:tc>
        <w:tc>
          <w:tcPr>
            <w:tcW w:w="1701" w:type="dxa"/>
            <w:vAlign w:val="center"/>
          </w:tcPr>
          <w:p w14:paraId="460153F9">
            <w:pPr>
              <w:spacing w:line="360" w:lineRule="exact"/>
              <w:jc w:val="center"/>
              <w:rPr>
                <w:rFonts w:hint="eastAsia" w:ascii="宋体" w:hAnsi="宋体" w:cs="宋体"/>
                <w:b/>
                <w:color w:val="000000"/>
                <w:sz w:val="24"/>
                <w:szCs w:val="24"/>
              </w:rPr>
            </w:pPr>
            <w:r>
              <w:rPr>
                <w:rFonts w:hint="eastAsia" w:ascii="宋体" w:hAnsi="宋体" w:cs="宋体"/>
                <w:b/>
                <w:color w:val="000000"/>
                <w:sz w:val="24"/>
                <w:szCs w:val="24"/>
              </w:rPr>
              <w:t>评价类型</w:t>
            </w:r>
          </w:p>
        </w:tc>
      </w:tr>
      <w:tr w14:paraId="1DA700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835" w:type="dxa"/>
            <w:vAlign w:val="center"/>
          </w:tcPr>
          <w:p w14:paraId="4D741B8E">
            <w:pPr>
              <w:pStyle w:val="15"/>
              <w:numPr>
                <w:ilvl w:val="0"/>
                <w:numId w:val="1"/>
              </w:numPr>
              <w:snapToGrid w:val="0"/>
              <w:spacing w:line="360" w:lineRule="exact"/>
              <w:ind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企业信用评价</w:t>
            </w:r>
          </w:p>
        </w:tc>
        <w:tc>
          <w:tcPr>
            <w:tcW w:w="5387" w:type="dxa"/>
            <w:vAlign w:val="center"/>
          </w:tcPr>
          <w:p w14:paraId="7A51FFDB">
            <w:pPr>
              <w:snapToGrid w:val="0"/>
              <w:spacing w:line="360" w:lineRule="exact"/>
              <w:rPr>
                <w:rFonts w:hint="eastAsia" w:cs="宋体" w:asciiTheme="minorEastAsia" w:hAnsiTheme="minorEastAsia" w:eastAsiaTheme="minorEastAsia"/>
                <w:color w:val="000000"/>
                <w:sz w:val="24"/>
                <w:szCs w:val="24"/>
              </w:rPr>
            </w:pPr>
            <w:r>
              <w:rPr>
                <w:rFonts w:ascii="宋体" w:hAnsi="宋体"/>
                <w:color w:val="000000"/>
                <w:sz w:val="24"/>
                <w:szCs w:val="24"/>
              </w:rPr>
              <w:t>GB/T 23794-2023</w:t>
            </w:r>
            <w:r>
              <w:rPr>
                <w:rFonts w:hint="eastAsia" w:ascii="宋体" w:hAnsi="宋体"/>
                <w:color w:val="000000"/>
                <w:sz w:val="24"/>
                <w:szCs w:val="24"/>
              </w:rPr>
              <w:t>《企业信用评价指标》</w:t>
            </w:r>
          </w:p>
        </w:tc>
        <w:tc>
          <w:tcPr>
            <w:tcW w:w="1701" w:type="dxa"/>
            <w:vAlign w:val="center"/>
          </w:tcPr>
          <w:p w14:paraId="36D17CA1">
            <w:pPr>
              <w:snapToGrid w:val="0"/>
              <w:spacing w:line="360" w:lineRule="exact"/>
              <w:jc w:val="center"/>
              <w:rPr>
                <w:rFonts w:hint="eastAsia" w:ascii="宋体" w:hAnsi="宋体" w:cs="宋体"/>
                <w:color w:val="000000"/>
                <w:sz w:val="24"/>
                <w:szCs w:val="24"/>
              </w:rPr>
            </w:pPr>
            <w:r>
              <w:rPr>
                <w:rFonts w:hint="eastAsia" w:ascii="宋体" w:hAnsi="宋体" w:cs="宋体"/>
                <w:color w:val="000000"/>
                <w:sz w:val="24"/>
                <w:szCs w:val="24"/>
              </w:rPr>
              <w:t>□初次评价</w:t>
            </w:r>
            <w:r>
              <w:rPr>
                <w:rFonts w:hint="eastAsia" w:ascii="宋体" w:hAnsi="宋体" w:cs="宋体"/>
                <w:color w:val="000000"/>
                <w:sz w:val="24"/>
                <w:szCs w:val="24"/>
              </w:rPr>
              <w:br w:type="textWrapping"/>
            </w:r>
            <w:r>
              <w:rPr>
                <w:rFonts w:hint="eastAsia" w:ascii="宋体" w:hAnsi="宋体" w:cs="宋体"/>
                <w:color w:val="000000"/>
                <w:sz w:val="24"/>
                <w:szCs w:val="24"/>
              </w:rPr>
              <w:t>□再认评价</w:t>
            </w:r>
          </w:p>
        </w:tc>
      </w:tr>
      <w:tr w14:paraId="007FB2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835" w:type="dxa"/>
            <w:vAlign w:val="center"/>
          </w:tcPr>
          <w:p w14:paraId="2ADB9F80">
            <w:pPr>
              <w:pStyle w:val="15"/>
              <w:numPr>
                <w:ilvl w:val="0"/>
                <w:numId w:val="2"/>
              </w:numPr>
              <w:snapToGrid w:val="0"/>
              <w:spacing w:line="360" w:lineRule="exact"/>
              <w:ind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企业标准化评价</w:t>
            </w:r>
          </w:p>
        </w:tc>
        <w:tc>
          <w:tcPr>
            <w:tcW w:w="5387" w:type="dxa"/>
            <w:vAlign w:val="center"/>
          </w:tcPr>
          <w:p w14:paraId="4682C0B3">
            <w:pPr>
              <w:snapToGrid w:val="0"/>
              <w:spacing w:line="360" w:lineRule="exac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GB/T 19273-2017《企业标准化工作 评价与改进》</w:t>
            </w:r>
          </w:p>
        </w:tc>
        <w:tc>
          <w:tcPr>
            <w:tcW w:w="1701" w:type="dxa"/>
            <w:vAlign w:val="center"/>
          </w:tcPr>
          <w:p w14:paraId="21276CA5">
            <w:pPr>
              <w:snapToGrid w:val="0"/>
              <w:spacing w:line="360" w:lineRule="exact"/>
              <w:jc w:val="center"/>
              <w:rPr>
                <w:rFonts w:hint="eastAsia" w:ascii="宋体" w:hAnsi="宋体" w:cs="宋体"/>
                <w:color w:val="000000"/>
                <w:sz w:val="24"/>
                <w:szCs w:val="24"/>
              </w:rPr>
            </w:pPr>
            <w:r>
              <w:rPr>
                <w:rFonts w:hint="eastAsia" w:ascii="宋体" w:hAnsi="宋体" w:cs="宋体"/>
                <w:color w:val="000000"/>
                <w:sz w:val="24"/>
                <w:szCs w:val="24"/>
              </w:rPr>
              <w:t>□初次评价</w:t>
            </w:r>
            <w:r>
              <w:rPr>
                <w:rFonts w:hint="eastAsia" w:ascii="宋体" w:hAnsi="宋体" w:cs="宋体"/>
                <w:color w:val="000000"/>
                <w:sz w:val="24"/>
                <w:szCs w:val="24"/>
              </w:rPr>
              <w:br w:type="textWrapping"/>
            </w:r>
            <w:r>
              <w:rPr>
                <w:rFonts w:hint="eastAsia" w:ascii="宋体" w:hAnsi="宋体" w:cs="宋体"/>
                <w:color w:val="000000"/>
                <w:sz w:val="24"/>
                <w:szCs w:val="24"/>
              </w:rPr>
              <w:t>□再认评价</w:t>
            </w:r>
          </w:p>
        </w:tc>
      </w:tr>
      <w:tr w14:paraId="0837CA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835" w:type="dxa"/>
            <w:vAlign w:val="center"/>
          </w:tcPr>
          <w:p w14:paraId="3DF7AF82">
            <w:pPr>
              <w:snapToGrid w:val="0"/>
              <w:spacing w:line="360" w:lineRule="exac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宋体" w:hAnsi="宋体"/>
                <w:color w:val="000000"/>
                <w:sz w:val="24"/>
                <w:szCs w:val="24"/>
              </w:rPr>
              <w:t>特殊医学用途配方食品良好生产规范（GMP）评价</w:t>
            </w:r>
          </w:p>
        </w:tc>
        <w:tc>
          <w:tcPr>
            <w:tcW w:w="5387" w:type="dxa"/>
            <w:vAlign w:val="center"/>
          </w:tcPr>
          <w:p w14:paraId="6214DB54">
            <w:pPr>
              <w:snapToGrid w:val="0"/>
              <w:spacing w:line="360" w:lineRule="exact"/>
              <w:rPr>
                <w:rFonts w:hint="eastAsia" w:ascii="宋体" w:hAnsi="宋体"/>
                <w:color w:val="000000"/>
                <w:sz w:val="24"/>
                <w:szCs w:val="24"/>
              </w:rPr>
            </w:pPr>
            <w:r>
              <w:rPr>
                <w:rFonts w:hint="eastAsia" w:ascii="宋体" w:hAnsi="宋体"/>
                <w:color w:val="000000"/>
                <w:sz w:val="24"/>
                <w:szCs w:val="24"/>
              </w:rPr>
              <w:t>GB 29923-2023《食品安全国家标准 特殊医学用途配方食品良好生产规范》</w:t>
            </w:r>
          </w:p>
        </w:tc>
        <w:tc>
          <w:tcPr>
            <w:tcW w:w="1701" w:type="dxa"/>
            <w:vAlign w:val="center"/>
          </w:tcPr>
          <w:p w14:paraId="552F074C">
            <w:pPr>
              <w:snapToGrid w:val="0"/>
              <w:spacing w:line="360" w:lineRule="exact"/>
              <w:jc w:val="center"/>
              <w:rPr>
                <w:rFonts w:hint="eastAsia" w:ascii="宋体" w:hAnsi="宋体" w:cs="宋体"/>
                <w:color w:val="000000"/>
                <w:sz w:val="24"/>
                <w:szCs w:val="24"/>
              </w:rPr>
            </w:pPr>
            <w:r>
              <w:rPr>
                <w:rFonts w:hint="eastAsia" w:ascii="宋体" w:hAnsi="宋体" w:cs="宋体"/>
                <w:color w:val="000000"/>
                <w:sz w:val="24"/>
                <w:szCs w:val="24"/>
              </w:rPr>
              <w:t>□初次评价</w:t>
            </w:r>
            <w:r>
              <w:rPr>
                <w:rFonts w:hint="eastAsia" w:ascii="宋体" w:hAnsi="宋体" w:cs="宋体"/>
                <w:color w:val="000000"/>
                <w:sz w:val="24"/>
                <w:szCs w:val="24"/>
              </w:rPr>
              <w:br w:type="textWrapping"/>
            </w:r>
            <w:r>
              <w:rPr>
                <w:rFonts w:hint="eastAsia" w:ascii="宋体" w:hAnsi="宋体" w:cs="宋体"/>
                <w:color w:val="000000"/>
                <w:sz w:val="24"/>
                <w:szCs w:val="24"/>
              </w:rPr>
              <w:t>□再认评价</w:t>
            </w:r>
          </w:p>
        </w:tc>
      </w:tr>
      <w:tr w14:paraId="6296E4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835" w:type="dxa"/>
            <w:vAlign w:val="center"/>
          </w:tcPr>
          <w:p w14:paraId="5F4E12BB">
            <w:pPr>
              <w:snapToGrid w:val="0"/>
              <w:spacing w:line="360" w:lineRule="exac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□无抗无激素养殖管理评价</w:t>
            </w:r>
          </w:p>
        </w:tc>
        <w:tc>
          <w:tcPr>
            <w:tcW w:w="5387" w:type="dxa"/>
            <w:vAlign w:val="center"/>
          </w:tcPr>
          <w:p w14:paraId="513185DF">
            <w:pPr>
              <w:snapToGrid w:val="0"/>
              <w:spacing w:line="360" w:lineRule="exac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Q/ZDHY02002-2024《无抗无激素生乳生产管理规范》</w:t>
            </w:r>
          </w:p>
        </w:tc>
        <w:tc>
          <w:tcPr>
            <w:tcW w:w="1701" w:type="dxa"/>
            <w:vAlign w:val="center"/>
          </w:tcPr>
          <w:p w14:paraId="73E9921A">
            <w:pPr>
              <w:snapToGrid w:val="0"/>
              <w:spacing w:line="360" w:lineRule="exact"/>
              <w:jc w:val="center"/>
              <w:rPr>
                <w:rFonts w:hint="eastAsia" w:ascii="宋体" w:hAnsi="宋体" w:cs="宋体"/>
                <w:color w:val="000000"/>
                <w:sz w:val="24"/>
                <w:szCs w:val="24"/>
              </w:rPr>
            </w:pPr>
            <w:r>
              <w:rPr>
                <w:rFonts w:hint="eastAsia" w:ascii="宋体" w:hAnsi="宋体" w:cs="宋体"/>
                <w:color w:val="000000"/>
                <w:sz w:val="24"/>
                <w:szCs w:val="24"/>
              </w:rPr>
              <w:t>□初次评价</w:t>
            </w:r>
            <w:r>
              <w:rPr>
                <w:rFonts w:hint="eastAsia" w:ascii="宋体" w:hAnsi="宋体" w:cs="宋体"/>
                <w:color w:val="000000"/>
                <w:sz w:val="24"/>
                <w:szCs w:val="24"/>
              </w:rPr>
              <w:br w:type="textWrapping"/>
            </w:r>
            <w:r>
              <w:rPr>
                <w:rFonts w:hint="eastAsia" w:ascii="宋体" w:hAnsi="宋体" w:cs="宋体"/>
                <w:color w:val="000000"/>
                <w:sz w:val="24"/>
                <w:szCs w:val="24"/>
              </w:rPr>
              <w:t>□再认评价</w:t>
            </w:r>
          </w:p>
        </w:tc>
      </w:tr>
      <w:tr w14:paraId="46DAB6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835" w:type="dxa"/>
            <w:vAlign w:val="center"/>
          </w:tcPr>
          <w:p w14:paraId="51C27881">
            <w:pPr>
              <w:snapToGrid w:val="0"/>
              <w:spacing w:line="360" w:lineRule="exac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□保健食品良好生产规范（GMP）评价</w:t>
            </w:r>
          </w:p>
        </w:tc>
        <w:tc>
          <w:tcPr>
            <w:tcW w:w="5387" w:type="dxa"/>
            <w:vAlign w:val="center"/>
          </w:tcPr>
          <w:p w14:paraId="2C95CEB9">
            <w:pPr>
              <w:snapToGrid w:val="0"/>
              <w:spacing w:line="360" w:lineRule="exac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GB 17405-2025《食品安全国家标准 保健食品良好生产规范》</w:t>
            </w:r>
          </w:p>
        </w:tc>
        <w:tc>
          <w:tcPr>
            <w:tcW w:w="1701" w:type="dxa"/>
            <w:vAlign w:val="center"/>
          </w:tcPr>
          <w:p w14:paraId="0A284B3A">
            <w:pPr>
              <w:snapToGrid w:val="0"/>
              <w:spacing w:line="360" w:lineRule="exac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□初次评价</w:t>
            </w:r>
            <w:r>
              <w:rPr>
                <w:rFonts w:hint="eastAsia" w:asciiTheme="minorEastAsia" w:hAnsiTheme="minorEastAsia" w:eastAsiaTheme="minorEastAsia"/>
                <w:color w:val="000000"/>
                <w:sz w:val="24"/>
                <w:szCs w:val="24"/>
              </w:rPr>
              <w:br w:type="textWrapping"/>
            </w:r>
            <w:r>
              <w:rPr>
                <w:rFonts w:hint="eastAsia" w:asciiTheme="minorEastAsia" w:hAnsiTheme="minorEastAsia" w:eastAsiaTheme="minorEastAsia"/>
                <w:color w:val="000000"/>
                <w:sz w:val="24"/>
                <w:szCs w:val="24"/>
              </w:rPr>
              <w:t>□再评价</w:t>
            </w:r>
          </w:p>
        </w:tc>
      </w:tr>
      <w:tr w14:paraId="551600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835" w:type="dxa"/>
            <w:vAlign w:val="center"/>
          </w:tcPr>
          <w:p w14:paraId="4F9842D0">
            <w:pPr>
              <w:snapToGrid w:val="0"/>
              <w:spacing w:line="360" w:lineRule="exac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□绿色管理评价</w:t>
            </w:r>
          </w:p>
        </w:tc>
        <w:tc>
          <w:tcPr>
            <w:tcW w:w="5387" w:type="dxa"/>
            <w:vAlign w:val="center"/>
          </w:tcPr>
          <w:p w14:paraId="1F47F823">
            <w:pPr>
              <w:snapToGrid w:val="0"/>
              <w:spacing w:line="360" w:lineRule="exac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Q/ZDHY02024-2026 《绿色管理评价 要求》</w:t>
            </w:r>
          </w:p>
        </w:tc>
        <w:tc>
          <w:tcPr>
            <w:tcW w:w="1701" w:type="dxa"/>
            <w:vAlign w:val="center"/>
          </w:tcPr>
          <w:p w14:paraId="270710A3">
            <w:pPr>
              <w:snapToGrid w:val="0"/>
              <w:spacing w:line="360" w:lineRule="exac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□初次评价</w:t>
            </w:r>
            <w:r>
              <w:rPr>
                <w:rFonts w:hint="eastAsia" w:asciiTheme="minorEastAsia" w:hAnsiTheme="minorEastAsia" w:eastAsiaTheme="minorEastAsia"/>
                <w:color w:val="000000"/>
                <w:sz w:val="24"/>
                <w:szCs w:val="24"/>
              </w:rPr>
              <w:br w:type="textWrapping"/>
            </w:r>
            <w:r>
              <w:rPr>
                <w:rFonts w:hint="eastAsia" w:asciiTheme="minorEastAsia" w:hAnsiTheme="minorEastAsia" w:eastAsiaTheme="minorEastAsia"/>
                <w:color w:val="000000"/>
                <w:sz w:val="24"/>
                <w:szCs w:val="24"/>
              </w:rPr>
              <w:t>□再评价</w:t>
            </w:r>
          </w:p>
        </w:tc>
      </w:tr>
    </w:tbl>
    <w:p w14:paraId="48184CF1">
      <w:pPr>
        <w:spacing w:before="120" w:beforeLines="50" w:line="480" w:lineRule="exact"/>
        <w:rPr>
          <w:rFonts w:hint="eastAsia" w:ascii="宋体" w:hAnsi="宋体"/>
          <w:color w:val="000000"/>
          <w:sz w:val="28"/>
          <w:szCs w:val="28"/>
        </w:rPr>
      </w:pPr>
      <w:r>
        <w:rPr>
          <w:rFonts w:hint="eastAsia" w:ascii="宋体" w:hAnsi="宋体"/>
          <w:color w:val="000000"/>
          <w:sz w:val="28"/>
          <w:szCs w:val="28"/>
        </w:rPr>
        <w:t>2.评价范围：</w:t>
      </w:r>
    </w:p>
    <w:p w14:paraId="674CA7FE">
      <w:pPr>
        <w:spacing w:line="480" w:lineRule="exact"/>
        <w:rPr>
          <w:rFonts w:hint="eastAsia" w:ascii="宋体" w:hAnsi="宋体"/>
          <w:b/>
          <w:color w:val="000000"/>
          <w:sz w:val="28"/>
          <w:szCs w:val="28"/>
          <w:u w:val="single"/>
        </w:rPr>
      </w:pPr>
      <w:r>
        <w:rPr>
          <w:rFonts w:hint="eastAsia" w:ascii="宋体" w:hAnsi="宋体"/>
          <w:color w:val="000000"/>
          <w:sz w:val="28"/>
          <w:szCs w:val="28"/>
        </w:rPr>
        <w:t>（1）经营活动范围：</w:t>
      </w:r>
      <w:r>
        <w:rPr>
          <w:rFonts w:hint="eastAsia" w:ascii="宋体" w:hAnsi="宋体"/>
          <w:b/>
          <w:color w:val="000000"/>
          <w:sz w:val="28"/>
          <w:szCs w:val="28"/>
          <w:u w:val="single"/>
        </w:rPr>
        <w:t xml:space="preserve">            </w:t>
      </w:r>
      <w:r>
        <w:rPr>
          <w:rFonts w:ascii="宋体" w:hAnsi="宋体"/>
          <w:b/>
          <w:color w:val="000000"/>
          <w:sz w:val="28"/>
          <w:szCs w:val="28"/>
          <w:u w:val="single"/>
        </w:rPr>
        <w:t xml:space="preserve">                                  </w:t>
      </w:r>
      <w:r>
        <w:rPr>
          <w:rFonts w:hint="eastAsia" w:ascii="宋体" w:hAnsi="宋体"/>
          <w:b/>
          <w:color w:val="000000"/>
          <w:sz w:val="28"/>
          <w:szCs w:val="28"/>
          <w:u w:val="single"/>
        </w:rPr>
        <w:t xml:space="preserve">                 </w:t>
      </w:r>
    </w:p>
    <w:p w14:paraId="02D5B170">
      <w:pPr>
        <w:spacing w:line="480" w:lineRule="exact"/>
        <w:rPr>
          <w:rFonts w:hint="eastAsia" w:ascii="宋体" w:hAnsi="宋体"/>
          <w:b/>
          <w:color w:val="000000"/>
          <w:sz w:val="28"/>
          <w:szCs w:val="28"/>
          <w:u w:val="single"/>
        </w:rPr>
      </w:pPr>
      <w:r>
        <w:rPr>
          <w:rFonts w:hint="eastAsia" w:ascii="宋体" w:hAnsi="宋体"/>
          <w:b/>
          <w:color w:val="000000"/>
          <w:sz w:val="28"/>
          <w:szCs w:val="28"/>
          <w:u w:val="single"/>
        </w:rPr>
        <w:t xml:space="preserve">             </w:t>
      </w:r>
      <w:r>
        <w:rPr>
          <w:rFonts w:ascii="宋体" w:hAnsi="宋体"/>
          <w:b/>
          <w:color w:val="000000"/>
          <w:sz w:val="28"/>
          <w:szCs w:val="28"/>
          <w:u w:val="single"/>
        </w:rPr>
        <w:t xml:space="preserve">                                  </w:t>
      </w:r>
      <w:r>
        <w:rPr>
          <w:rFonts w:hint="eastAsia" w:ascii="宋体" w:hAnsi="宋体"/>
          <w:b/>
          <w:color w:val="000000"/>
          <w:sz w:val="28"/>
          <w:szCs w:val="28"/>
          <w:u w:val="single"/>
        </w:rPr>
        <w:t xml:space="preserve">                     </w:t>
      </w:r>
    </w:p>
    <w:p w14:paraId="5B04DA52">
      <w:pPr>
        <w:spacing w:line="480" w:lineRule="exact"/>
        <w:rPr>
          <w:rFonts w:hint="eastAsia" w:ascii="宋体" w:hAnsi="宋体"/>
          <w:color w:val="000000"/>
          <w:sz w:val="28"/>
          <w:szCs w:val="28"/>
        </w:rPr>
      </w:pPr>
      <w:r>
        <w:rPr>
          <w:rFonts w:hint="eastAsia" w:ascii="宋体" w:hAnsi="宋体"/>
          <w:color w:val="000000"/>
          <w:sz w:val="28"/>
          <w:szCs w:val="28"/>
        </w:rPr>
        <w:t>（以评价组长在评价现场确认的经营活动范围为准）；</w:t>
      </w:r>
    </w:p>
    <w:p w14:paraId="64386451">
      <w:pPr>
        <w:spacing w:line="480" w:lineRule="exact"/>
        <w:rPr>
          <w:rFonts w:hint="eastAsia" w:ascii="宋体" w:hAnsi="宋体"/>
          <w:b/>
          <w:color w:val="000000"/>
          <w:sz w:val="28"/>
          <w:szCs w:val="28"/>
          <w:u w:val="single"/>
        </w:rPr>
      </w:pPr>
      <w:r>
        <w:rPr>
          <w:rFonts w:hint="eastAsia" w:ascii="宋体" w:hAnsi="宋体"/>
          <w:color w:val="000000"/>
          <w:sz w:val="28"/>
          <w:szCs w:val="28"/>
        </w:rPr>
        <w:t>（2）经营活动场所地址（评价地址）：</w:t>
      </w:r>
      <w:r>
        <w:rPr>
          <w:rFonts w:ascii="宋体" w:hAnsi="宋体"/>
          <w:b/>
          <w:color w:val="000000"/>
          <w:sz w:val="28"/>
          <w:szCs w:val="28"/>
          <w:u w:val="single"/>
        </w:rPr>
        <w:t xml:space="preserve">                         </w:t>
      </w:r>
      <w:r>
        <w:rPr>
          <w:rFonts w:hint="eastAsia" w:ascii="宋体" w:hAnsi="宋体"/>
          <w:b/>
          <w:color w:val="000000"/>
          <w:sz w:val="28"/>
          <w:szCs w:val="28"/>
          <w:u w:val="single"/>
        </w:rPr>
        <w:t xml:space="preserve">            </w:t>
      </w:r>
    </w:p>
    <w:p w14:paraId="626D50D0">
      <w:pPr>
        <w:spacing w:line="480" w:lineRule="exact"/>
        <w:rPr>
          <w:rFonts w:hint="eastAsia" w:ascii="宋体" w:hAnsi="宋体"/>
          <w:color w:val="000000"/>
          <w:sz w:val="28"/>
          <w:szCs w:val="28"/>
          <w:u w:val="single"/>
        </w:rPr>
      </w:pPr>
      <w:r>
        <w:rPr>
          <w:rFonts w:hint="eastAsia" w:ascii="宋体" w:hAnsi="宋体"/>
          <w:b/>
          <w:color w:val="000000"/>
          <w:sz w:val="28"/>
          <w:szCs w:val="28"/>
          <w:u w:val="single"/>
        </w:rPr>
        <w:t xml:space="preserve">                                                                    </w:t>
      </w:r>
    </w:p>
    <w:p w14:paraId="16C23027">
      <w:pPr>
        <w:spacing w:before="240" w:beforeLines="100" w:line="480" w:lineRule="exact"/>
        <w:jc w:val="left"/>
        <w:rPr>
          <w:rFonts w:hint="eastAsia" w:ascii="宋体" w:hAnsi="宋体"/>
          <w:b/>
          <w:color w:val="000000"/>
          <w:sz w:val="28"/>
          <w:szCs w:val="28"/>
        </w:rPr>
      </w:pPr>
      <w:r>
        <w:rPr>
          <w:rFonts w:hint="eastAsia" w:ascii="宋体" w:hAnsi="宋体"/>
          <w:b/>
          <w:color w:val="000000"/>
          <w:sz w:val="28"/>
          <w:szCs w:val="28"/>
        </w:rPr>
        <w:t>二、评价费用及付款方式：</w:t>
      </w:r>
      <w:r>
        <w:rPr>
          <w:rFonts w:ascii="宋体" w:hAnsi="宋体"/>
          <w:b/>
          <w:color w:val="000000"/>
          <w:sz w:val="28"/>
          <w:szCs w:val="28"/>
        </w:rPr>
        <w:t xml:space="preserve"> </w:t>
      </w:r>
    </w:p>
    <w:p w14:paraId="32BE13EC">
      <w:pPr>
        <w:spacing w:line="480" w:lineRule="exact"/>
        <w:ind w:left="2"/>
        <w:jc w:val="left"/>
        <w:rPr>
          <w:rFonts w:hint="eastAsia" w:ascii="宋体" w:hAnsi="宋体"/>
          <w:b/>
          <w:color w:val="000000"/>
          <w:sz w:val="28"/>
          <w:szCs w:val="28"/>
        </w:rPr>
      </w:pPr>
      <w:r>
        <w:rPr>
          <w:rFonts w:hint="eastAsia" w:ascii="宋体" w:hAnsi="宋体"/>
          <w:b/>
          <w:color w:val="000000"/>
          <w:sz w:val="28"/>
          <w:szCs w:val="28"/>
        </w:rPr>
        <w:t>（一）</w:t>
      </w:r>
      <w:r>
        <w:rPr>
          <w:rFonts w:ascii="宋体" w:hAnsi="宋体"/>
          <w:b/>
          <w:color w:val="000000"/>
          <w:sz w:val="28"/>
          <w:szCs w:val="28"/>
        </w:rPr>
        <w:t>初次</w:t>
      </w:r>
      <w:r>
        <w:rPr>
          <w:rFonts w:hint="eastAsia" w:ascii="宋体" w:hAnsi="宋体"/>
          <w:b/>
          <w:color w:val="000000"/>
          <w:sz w:val="28"/>
          <w:szCs w:val="28"/>
        </w:rPr>
        <w:t>评价费用</w:t>
      </w:r>
    </w:p>
    <w:p w14:paraId="410F10B6">
      <w:pPr>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初次评价费用</w:t>
      </w:r>
      <w:r>
        <w:rPr>
          <w:rFonts w:ascii="宋体" w:hAnsi="宋体"/>
          <w:color w:val="000000"/>
          <w:sz w:val="28"/>
          <w:szCs w:val="28"/>
        </w:rPr>
        <w:t>合计￥</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元（写</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），在合同生效后20天内，甲方向乙方支付</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50</w:t>
      </w:r>
      <w:r>
        <w:rPr>
          <w:rFonts w:ascii="宋体" w:hAnsi="宋体"/>
          <w:color w:val="000000"/>
          <w:sz w:val="28"/>
          <w:szCs w:val="28"/>
          <w:u w:val="single"/>
        </w:rPr>
        <w:t xml:space="preserve">  </w:t>
      </w:r>
      <w:r>
        <w:rPr>
          <w:rFonts w:ascii="宋体" w:hAnsi="宋体"/>
          <w:color w:val="000000"/>
          <w:sz w:val="28"/>
          <w:szCs w:val="28"/>
        </w:rPr>
        <w:t>%，</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现场评价</w:t>
      </w:r>
      <w:r>
        <w:rPr>
          <w:rFonts w:ascii="宋体" w:hAnsi="宋体"/>
          <w:color w:val="000000"/>
          <w:sz w:val="28"/>
          <w:szCs w:val="28"/>
          <w:u w:val="single"/>
        </w:rPr>
        <w:t xml:space="preserve"> </w:t>
      </w:r>
      <w:r>
        <w:rPr>
          <w:rFonts w:hint="eastAsia" w:ascii="宋体" w:hAnsi="宋体"/>
          <w:color w:val="000000"/>
          <w:sz w:val="28"/>
          <w:szCs w:val="28"/>
          <w:lang w:eastAsia="zh-CN"/>
        </w:rPr>
        <w:t>☑</w:t>
      </w:r>
      <w:r>
        <w:rPr>
          <w:rFonts w:ascii="宋体" w:hAnsi="宋体"/>
          <w:color w:val="000000"/>
          <w:sz w:val="28"/>
          <w:szCs w:val="28"/>
        </w:rPr>
        <w:t>前/</w:t>
      </w:r>
      <w:r>
        <w:rPr>
          <w:rFonts w:hint="eastAsia" w:ascii="宋体" w:hAnsi="宋体"/>
          <w:color w:val="000000"/>
          <w:sz w:val="28"/>
          <w:szCs w:val="28"/>
        </w:rPr>
        <w:t>□</w:t>
      </w:r>
      <w:r>
        <w:rPr>
          <w:rFonts w:ascii="宋体" w:hAnsi="宋体"/>
          <w:color w:val="000000"/>
          <w:sz w:val="28"/>
          <w:szCs w:val="28"/>
        </w:rPr>
        <w:t>时付清所有费用。</w:t>
      </w:r>
    </w:p>
    <w:p w14:paraId="7A00F6FF">
      <w:pPr>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费用包含：</w:t>
      </w:r>
    </w:p>
    <w:p w14:paraId="12108F86">
      <w:pPr>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（1）评价项目申请费；</w:t>
      </w:r>
    </w:p>
    <w:p w14:paraId="205EB6F6">
      <w:pPr>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（2）评价项目审定</w:t>
      </w:r>
      <w:r>
        <w:rPr>
          <w:rFonts w:ascii="宋体" w:hAnsi="宋体"/>
          <w:color w:val="000000"/>
          <w:sz w:val="28"/>
          <w:szCs w:val="28"/>
        </w:rPr>
        <w:t>与注册费（含</w:t>
      </w:r>
      <w:r>
        <w:rPr>
          <w:rFonts w:hint="eastAsia" w:ascii="宋体" w:hAnsi="宋体"/>
          <w:color w:val="000000"/>
          <w:sz w:val="28"/>
          <w:szCs w:val="28"/>
        </w:rPr>
        <w:t>评价</w:t>
      </w:r>
      <w:r>
        <w:rPr>
          <w:rFonts w:ascii="宋体" w:hAnsi="宋体"/>
          <w:color w:val="000000"/>
          <w:sz w:val="28"/>
          <w:szCs w:val="28"/>
        </w:rPr>
        <w:t>证书费）</w:t>
      </w:r>
      <w:r>
        <w:rPr>
          <w:rFonts w:hint="eastAsia" w:ascii="宋体" w:hAnsi="宋体"/>
          <w:color w:val="000000"/>
          <w:sz w:val="28"/>
          <w:szCs w:val="28"/>
        </w:rPr>
        <w:t>；</w:t>
      </w:r>
    </w:p>
    <w:p w14:paraId="6C9DC671">
      <w:pPr>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（3）评价费。</w:t>
      </w:r>
    </w:p>
    <w:p w14:paraId="7BD2DD66">
      <w:pPr>
        <w:spacing w:before="120" w:beforeLines="50" w:line="480" w:lineRule="exact"/>
        <w:rPr>
          <w:rFonts w:hint="eastAsia" w:ascii="宋体" w:hAnsi="宋体"/>
          <w:b/>
          <w:color w:val="000000"/>
          <w:sz w:val="28"/>
          <w:szCs w:val="28"/>
        </w:rPr>
      </w:pPr>
      <w:r>
        <w:rPr>
          <w:rFonts w:hint="eastAsia" w:ascii="宋体" w:hAnsi="宋体"/>
          <w:b/>
          <w:color w:val="000000"/>
          <w:sz w:val="28"/>
          <w:szCs w:val="28"/>
        </w:rPr>
        <w:t>（二）</w:t>
      </w:r>
      <w:r>
        <w:rPr>
          <w:rFonts w:ascii="宋体" w:hAnsi="宋体"/>
          <w:b/>
          <w:color w:val="000000"/>
          <w:sz w:val="28"/>
          <w:szCs w:val="28"/>
        </w:rPr>
        <w:t>监督</w:t>
      </w:r>
      <w:r>
        <w:rPr>
          <w:rFonts w:hint="eastAsia" w:ascii="宋体" w:hAnsi="宋体"/>
          <w:b/>
          <w:color w:val="000000"/>
          <w:sz w:val="28"/>
          <w:szCs w:val="28"/>
        </w:rPr>
        <w:t>评价</w:t>
      </w:r>
      <w:r>
        <w:rPr>
          <w:rFonts w:ascii="宋体" w:hAnsi="宋体"/>
          <w:b/>
          <w:color w:val="000000"/>
          <w:sz w:val="28"/>
          <w:szCs w:val="28"/>
        </w:rPr>
        <w:t>费用</w:t>
      </w:r>
    </w:p>
    <w:p w14:paraId="63849819">
      <w:pPr>
        <w:spacing w:line="480" w:lineRule="exact"/>
        <w:ind w:firstLine="560" w:firstLineChars="200"/>
        <w:rPr>
          <w:rFonts w:hint="eastAsia" w:ascii="宋体" w:hAnsi="宋体"/>
          <w:color w:val="000000"/>
          <w:sz w:val="28"/>
          <w:szCs w:val="28"/>
        </w:rPr>
      </w:pPr>
      <w:r>
        <w:rPr>
          <w:rFonts w:ascii="宋体" w:hAnsi="宋体"/>
          <w:color w:val="000000"/>
          <w:sz w:val="28"/>
          <w:szCs w:val="28"/>
        </w:rPr>
        <w:t>甲方取得</w:t>
      </w:r>
      <w:r>
        <w:rPr>
          <w:rFonts w:hint="eastAsia" w:ascii="宋体" w:hAnsi="宋体"/>
          <w:color w:val="000000"/>
          <w:sz w:val="28"/>
          <w:szCs w:val="28"/>
        </w:rPr>
        <w:t>评价</w:t>
      </w:r>
      <w:r>
        <w:rPr>
          <w:rFonts w:ascii="宋体" w:hAnsi="宋体"/>
          <w:color w:val="000000"/>
          <w:sz w:val="28"/>
          <w:szCs w:val="28"/>
        </w:rPr>
        <w:t>注册资格后，在有效期内，将接受乙方定期监督</w:t>
      </w:r>
      <w:r>
        <w:rPr>
          <w:rFonts w:hint="eastAsia" w:ascii="宋体" w:hAnsi="宋体"/>
          <w:color w:val="000000"/>
          <w:sz w:val="28"/>
          <w:szCs w:val="28"/>
        </w:rPr>
        <w:t>评价</w:t>
      </w:r>
      <w:r>
        <w:rPr>
          <w:rFonts w:ascii="宋体" w:hAnsi="宋体"/>
          <w:color w:val="000000"/>
          <w:sz w:val="28"/>
          <w:szCs w:val="28"/>
        </w:rPr>
        <w:t>。监督</w:t>
      </w:r>
      <w:r>
        <w:rPr>
          <w:rFonts w:hint="eastAsia" w:ascii="宋体" w:hAnsi="宋体"/>
          <w:color w:val="000000"/>
          <w:sz w:val="28"/>
          <w:szCs w:val="28"/>
        </w:rPr>
        <w:t>评价</w:t>
      </w:r>
      <w:r>
        <w:rPr>
          <w:rFonts w:ascii="宋体" w:hAnsi="宋体"/>
          <w:color w:val="000000"/>
          <w:sz w:val="28"/>
          <w:szCs w:val="28"/>
        </w:rPr>
        <w:t>间隔时间最长不得超过12个月，有异常情况时乙方可以酌情增加监督</w:t>
      </w:r>
      <w:r>
        <w:rPr>
          <w:rFonts w:hint="eastAsia" w:ascii="宋体" w:hAnsi="宋体"/>
          <w:color w:val="000000"/>
          <w:sz w:val="28"/>
          <w:szCs w:val="28"/>
        </w:rPr>
        <w:t>评价</w:t>
      </w:r>
      <w:r>
        <w:rPr>
          <w:rFonts w:ascii="宋体" w:hAnsi="宋体"/>
          <w:color w:val="000000"/>
          <w:sz w:val="28"/>
          <w:szCs w:val="28"/>
        </w:rPr>
        <w:t>的频次。</w:t>
      </w:r>
    </w:p>
    <w:p w14:paraId="70CBF5A2">
      <w:pPr>
        <w:spacing w:line="480" w:lineRule="exact"/>
        <w:ind w:firstLine="560" w:firstLineChars="200"/>
        <w:jc w:val="left"/>
        <w:rPr>
          <w:rFonts w:hint="eastAsia" w:ascii="宋体" w:hAnsi="宋体"/>
          <w:color w:val="000000"/>
          <w:sz w:val="28"/>
          <w:szCs w:val="28"/>
        </w:rPr>
      </w:pPr>
      <w:r>
        <w:rPr>
          <w:rFonts w:ascii="宋体" w:hAnsi="宋体"/>
          <w:color w:val="000000"/>
          <w:sz w:val="28"/>
          <w:szCs w:val="28"/>
        </w:rPr>
        <w:t>每次监督</w:t>
      </w:r>
      <w:r>
        <w:rPr>
          <w:rFonts w:hint="eastAsia" w:ascii="宋体" w:hAnsi="宋体"/>
          <w:color w:val="000000"/>
          <w:sz w:val="28"/>
          <w:szCs w:val="28"/>
        </w:rPr>
        <w:t>评价</w:t>
      </w:r>
      <w:r>
        <w:rPr>
          <w:rFonts w:ascii="宋体" w:hAnsi="宋体"/>
          <w:color w:val="000000"/>
          <w:sz w:val="28"/>
          <w:szCs w:val="28"/>
        </w:rPr>
        <w:t>费用合计</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元（大写</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r>
        <w:rPr>
          <w:rFonts w:hint="eastAsia" w:ascii="宋体" w:hAnsi="宋体"/>
          <w:color w:val="000000"/>
          <w:sz w:val="28"/>
          <w:szCs w:val="28"/>
        </w:rPr>
        <w:t>，</w:t>
      </w:r>
      <w:r>
        <w:rPr>
          <w:rFonts w:ascii="宋体" w:hAnsi="宋体"/>
          <w:color w:val="000000"/>
          <w:sz w:val="28"/>
          <w:szCs w:val="28"/>
        </w:rPr>
        <w:t>在监督</w:t>
      </w:r>
      <w:r>
        <w:rPr>
          <w:rFonts w:hint="eastAsia" w:ascii="宋体" w:hAnsi="宋体"/>
          <w:color w:val="000000"/>
          <w:sz w:val="28"/>
          <w:szCs w:val="28"/>
        </w:rPr>
        <w:t>评价</w:t>
      </w:r>
      <w:r>
        <w:rPr>
          <w:rFonts w:ascii="宋体" w:hAnsi="宋体"/>
          <w:color w:val="000000"/>
          <w:sz w:val="28"/>
          <w:szCs w:val="28"/>
        </w:rPr>
        <w:t>前20天内付清所有费用。</w:t>
      </w:r>
    </w:p>
    <w:p w14:paraId="5B9B4009">
      <w:pPr>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费用包含：</w:t>
      </w:r>
    </w:p>
    <w:p w14:paraId="6DF48098">
      <w:pPr>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（1）评价项目年金；</w:t>
      </w:r>
    </w:p>
    <w:p w14:paraId="57F63390">
      <w:pPr>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（2）评价费。</w:t>
      </w:r>
    </w:p>
    <w:p w14:paraId="415B66D2">
      <w:pPr>
        <w:spacing w:line="480" w:lineRule="exact"/>
        <w:ind w:firstLine="560" w:firstLineChars="200"/>
        <w:jc w:val="left"/>
        <w:rPr>
          <w:rFonts w:hint="eastAsia" w:ascii="宋体" w:hAnsi="宋体"/>
          <w:color w:val="000000"/>
          <w:sz w:val="28"/>
          <w:szCs w:val="28"/>
        </w:rPr>
      </w:pPr>
    </w:p>
    <w:p w14:paraId="1B250E54">
      <w:pPr>
        <w:spacing w:before="120" w:beforeLines="50" w:line="480" w:lineRule="exact"/>
        <w:rPr>
          <w:rFonts w:hint="eastAsia" w:ascii="宋体" w:hAnsi="宋体"/>
          <w:b/>
          <w:color w:val="000000"/>
          <w:sz w:val="28"/>
          <w:szCs w:val="28"/>
        </w:rPr>
      </w:pPr>
      <w:r>
        <w:rPr>
          <w:rFonts w:hint="eastAsia" w:ascii="宋体" w:hAnsi="宋体"/>
          <w:b/>
          <w:color w:val="000000"/>
          <w:sz w:val="28"/>
          <w:szCs w:val="28"/>
        </w:rPr>
        <w:t>（三）再评价费用</w:t>
      </w:r>
    </w:p>
    <w:p w14:paraId="77A37F62">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再评价</w:t>
      </w:r>
      <w:r>
        <w:rPr>
          <w:rFonts w:ascii="宋体" w:hAnsi="宋体"/>
          <w:color w:val="000000"/>
          <w:sz w:val="28"/>
          <w:szCs w:val="28"/>
        </w:rPr>
        <w:t>费用合计</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元（大写</w:t>
      </w:r>
      <w:r>
        <w:rPr>
          <w:rFonts w:ascii="宋体" w:hAnsi="宋体"/>
          <w:color w:val="000000"/>
          <w:sz w:val="28"/>
          <w:szCs w:val="28"/>
          <w:u w:val="single"/>
        </w:rPr>
        <w:t xml:space="preserve">                    </w:t>
      </w:r>
      <w:r>
        <w:rPr>
          <w:rFonts w:ascii="宋体" w:hAnsi="宋体"/>
          <w:color w:val="000000"/>
          <w:sz w:val="28"/>
          <w:szCs w:val="28"/>
        </w:rPr>
        <w:t>），在</w:t>
      </w:r>
      <w:r>
        <w:rPr>
          <w:rFonts w:hint="eastAsia" w:ascii="宋体" w:hAnsi="宋体"/>
          <w:color w:val="000000"/>
          <w:sz w:val="28"/>
          <w:szCs w:val="28"/>
        </w:rPr>
        <w:t>再评价评价前20天付清所有费用。</w:t>
      </w:r>
    </w:p>
    <w:p w14:paraId="565ACEC2">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费用包含：</w:t>
      </w:r>
    </w:p>
    <w:p w14:paraId="74BAC190">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（1）评价项目</w:t>
      </w:r>
      <w:r>
        <w:rPr>
          <w:rFonts w:ascii="宋体" w:hAnsi="宋体"/>
          <w:color w:val="000000"/>
          <w:sz w:val="28"/>
          <w:szCs w:val="28"/>
        </w:rPr>
        <w:t>审定与注册费（含</w:t>
      </w:r>
      <w:r>
        <w:rPr>
          <w:rFonts w:hint="eastAsia" w:ascii="宋体" w:hAnsi="宋体"/>
          <w:color w:val="000000"/>
          <w:sz w:val="28"/>
          <w:szCs w:val="28"/>
        </w:rPr>
        <w:t>评价</w:t>
      </w:r>
      <w:r>
        <w:rPr>
          <w:rFonts w:ascii="宋体" w:hAnsi="宋体"/>
          <w:color w:val="000000"/>
          <w:sz w:val="28"/>
          <w:szCs w:val="28"/>
        </w:rPr>
        <w:t>证书费）</w:t>
      </w:r>
      <w:r>
        <w:rPr>
          <w:rFonts w:hint="eastAsia" w:ascii="宋体" w:hAnsi="宋体"/>
          <w:color w:val="000000"/>
          <w:sz w:val="28"/>
          <w:szCs w:val="28"/>
        </w:rPr>
        <w:t>；</w:t>
      </w:r>
    </w:p>
    <w:p w14:paraId="3BA0B064">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（2）评价费。</w:t>
      </w:r>
    </w:p>
    <w:p w14:paraId="1E9BC891">
      <w:pPr>
        <w:spacing w:before="120" w:beforeLines="50" w:line="480" w:lineRule="exact"/>
        <w:rPr>
          <w:rFonts w:hint="eastAsia" w:ascii="宋体" w:hAnsi="宋体"/>
          <w:color w:val="000000"/>
          <w:sz w:val="28"/>
          <w:szCs w:val="28"/>
        </w:rPr>
      </w:pPr>
      <w:r>
        <w:rPr>
          <w:rFonts w:hint="eastAsia" w:ascii="宋体" w:hAnsi="宋体"/>
          <w:b/>
          <w:color w:val="000000"/>
          <w:sz w:val="28"/>
          <w:szCs w:val="28"/>
        </w:rPr>
        <w:t>（四）其他费用</w:t>
      </w:r>
    </w:p>
    <w:p w14:paraId="596A2D27">
      <w:pPr>
        <w:numPr>
          <w:ilvl w:val="1"/>
          <w:numId w:val="3"/>
        </w:numPr>
        <w:spacing w:line="480" w:lineRule="exact"/>
        <w:ind w:left="0" w:firstLine="560" w:firstLineChars="200"/>
        <w:rPr>
          <w:rFonts w:hint="eastAsia" w:ascii="宋体" w:hAnsi="宋体"/>
          <w:color w:val="000000"/>
          <w:sz w:val="28"/>
          <w:szCs w:val="28"/>
        </w:rPr>
      </w:pPr>
      <w:r>
        <w:rPr>
          <w:rFonts w:hint="eastAsia" w:ascii="宋体" w:hAnsi="宋体"/>
          <w:color w:val="000000"/>
          <w:sz w:val="28"/>
          <w:szCs w:val="28"/>
        </w:rPr>
        <w:t>评价</w:t>
      </w:r>
      <w:r>
        <w:rPr>
          <w:rFonts w:ascii="宋体" w:hAnsi="宋体"/>
          <w:color w:val="000000"/>
          <w:sz w:val="28"/>
          <w:szCs w:val="28"/>
        </w:rPr>
        <w:t>员为甲方提供</w:t>
      </w:r>
      <w:r>
        <w:rPr>
          <w:rFonts w:hint="eastAsia" w:ascii="宋体" w:hAnsi="宋体"/>
          <w:color w:val="000000"/>
          <w:sz w:val="28"/>
          <w:szCs w:val="28"/>
        </w:rPr>
        <w:t>现场评价</w:t>
      </w:r>
      <w:r>
        <w:rPr>
          <w:rFonts w:ascii="宋体" w:hAnsi="宋体"/>
          <w:color w:val="000000"/>
          <w:sz w:val="28"/>
          <w:szCs w:val="28"/>
        </w:rPr>
        <w:t>服务所发生的食宿、交通费用由甲方承担</w:t>
      </w:r>
      <w:r>
        <w:rPr>
          <w:rFonts w:hint="eastAsia" w:ascii="宋体" w:hAnsi="宋体"/>
          <w:color w:val="000000"/>
          <w:sz w:val="28"/>
          <w:szCs w:val="28"/>
        </w:rPr>
        <w:t>；</w:t>
      </w:r>
    </w:p>
    <w:p w14:paraId="59532023">
      <w:pPr>
        <w:numPr>
          <w:ilvl w:val="1"/>
          <w:numId w:val="3"/>
        </w:numPr>
        <w:spacing w:line="480" w:lineRule="exact"/>
        <w:ind w:left="0" w:firstLine="560" w:firstLineChars="200"/>
        <w:rPr>
          <w:rFonts w:hint="eastAsia" w:ascii="宋体" w:hAnsi="宋体"/>
          <w:color w:val="000000"/>
          <w:sz w:val="28"/>
          <w:szCs w:val="28"/>
        </w:rPr>
      </w:pPr>
      <w:r>
        <w:rPr>
          <w:rFonts w:hint="eastAsia" w:ascii="宋体" w:hAnsi="宋体"/>
          <w:color w:val="000000"/>
          <w:sz w:val="28"/>
          <w:szCs w:val="28"/>
        </w:rPr>
        <w:t>标牌及副本需另付费，如有需求，请与乙方联系，另行约定。</w:t>
      </w:r>
    </w:p>
    <w:p w14:paraId="6504B8ED">
      <w:pPr>
        <w:spacing w:before="120" w:beforeLines="50" w:line="480" w:lineRule="exact"/>
        <w:jc w:val="left"/>
        <w:rPr>
          <w:rFonts w:hint="eastAsia" w:ascii="宋体" w:hAnsi="宋体"/>
          <w:b/>
          <w:color w:val="000000"/>
          <w:sz w:val="28"/>
          <w:szCs w:val="28"/>
        </w:rPr>
      </w:pPr>
      <w:r>
        <w:rPr>
          <w:rFonts w:ascii="宋体" w:hAnsi="宋体"/>
          <w:b/>
          <w:color w:val="000000"/>
          <w:sz w:val="28"/>
          <w:szCs w:val="28"/>
        </w:rPr>
        <w:t>（</w:t>
      </w:r>
      <w:r>
        <w:rPr>
          <w:rFonts w:hint="eastAsia" w:ascii="宋体" w:hAnsi="宋体"/>
          <w:b/>
          <w:color w:val="000000"/>
          <w:sz w:val="28"/>
          <w:szCs w:val="28"/>
        </w:rPr>
        <w:t>五</w:t>
      </w:r>
      <w:r>
        <w:rPr>
          <w:rFonts w:ascii="宋体" w:hAnsi="宋体"/>
          <w:b/>
          <w:color w:val="000000"/>
          <w:sz w:val="28"/>
          <w:szCs w:val="28"/>
        </w:rPr>
        <w:t>）</w:t>
      </w:r>
      <w:r>
        <w:rPr>
          <w:rFonts w:hint="eastAsia" w:ascii="宋体" w:hAnsi="宋体" w:cs="宋体"/>
          <w:b/>
          <w:color w:val="000000"/>
          <w:sz w:val="28"/>
          <w:szCs w:val="28"/>
        </w:rPr>
        <w:t>合同延续时，监督评价及再评价</w:t>
      </w:r>
      <w:r>
        <w:rPr>
          <w:rFonts w:ascii="宋体" w:hAnsi="宋体"/>
          <w:b/>
          <w:color w:val="000000"/>
          <w:sz w:val="28"/>
          <w:szCs w:val="28"/>
        </w:rPr>
        <w:t>费用按</w:t>
      </w:r>
      <w:r>
        <w:rPr>
          <w:rFonts w:hint="eastAsia" w:ascii="宋体" w:hAnsi="宋体"/>
          <w:b/>
          <w:color w:val="000000"/>
          <w:sz w:val="28"/>
          <w:szCs w:val="28"/>
        </w:rPr>
        <w:t>本合同</w:t>
      </w:r>
      <w:r>
        <w:rPr>
          <w:rFonts w:ascii="宋体" w:hAnsi="宋体"/>
          <w:b/>
          <w:color w:val="000000"/>
          <w:sz w:val="28"/>
          <w:szCs w:val="28"/>
        </w:rPr>
        <w:t>约定执行。</w:t>
      </w:r>
    </w:p>
    <w:p w14:paraId="0137509E">
      <w:pPr>
        <w:spacing w:before="120" w:beforeLines="50" w:line="480" w:lineRule="exact"/>
        <w:ind w:left="2"/>
        <w:rPr>
          <w:rFonts w:hint="eastAsia" w:ascii="宋体" w:hAnsi="宋体"/>
          <w:b/>
          <w:color w:val="000000"/>
          <w:sz w:val="28"/>
          <w:szCs w:val="28"/>
        </w:rPr>
      </w:pPr>
      <w:r>
        <w:rPr>
          <w:rFonts w:hint="eastAsia" w:ascii="宋体" w:hAnsi="宋体"/>
          <w:b/>
          <w:color w:val="000000"/>
          <w:sz w:val="28"/>
          <w:szCs w:val="28"/>
        </w:rPr>
        <w:t>（六）付款方式</w:t>
      </w:r>
    </w:p>
    <w:p w14:paraId="74F8D688">
      <w:pPr>
        <w:spacing w:line="480" w:lineRule="exact"/>
        <w:ind w:firstLine="480" w:firstLineChars="200"/>
        <w:rPr>
          <w:ins w:id="0" w:author="Administrator" w:date="2016-05-25T13:09:00Z"/>
          <w:rFonts w:hint="eastAsia" w:ascii="宋体" w:hAnsi="宋体"/>
          <w:color w:val="000000" w:themeColor="text1"/>
          <w:sz w:val="24"/>
          <w:szCs w:val="24"/>
          <w14:textFill>
            <w14:solidFill>
              <w14:schemeClr w14:val="tx1"/>
            </w14:solidFill>
          </w14:textFill>
        </w:rPr>
      </w:pPr>
      <w:ins w:id="1" w:author="Administrator" w:date="2016-05-25T13:09:00Z">
        <w:r>
          <w:rPr>
            <w:rFonts w:hint="eastAsia" w:ascii="宋体" w:hAnsi="宋体"/>
            <w:color w:val="000000" w:themeColor="text1"/>
            <w:sz w:val="24"/>
            <w:szCs w:val="24"/>
            <w14:textFill>
              <w14:solidFill>
                <w14:schemeClr w14:val="tx1"/>
              </w14:solidFill>
            </w14:textFill>
          </w:rPr>
          <w:t>甲方履行认证合同，向乙方付款，汇款帐号：</w:t>
        </w:r>
      </w:ins>
    </w:p>
    <w:p w14:paraId="4E13E3F1">
      <w:pPr>
        <w:spacing w:line="480" w:lineRule="exact"/>
        <w:ind w:firstLine="480" w:firstLineChars="200"/>
        <w:rPr>
          <w:ins w:id="2" w:author="Administrator" w:date="2016-05-25T13:09:00Z"/>
          <w:rFonts w:hint="eastAsia" w:ascii="宋体" w:hAnsi="宋体"/>
          <w:color w:val="000000" w:themeColor="text1"/>
          <w:sz w:val="24"/>
          <w:szCs w:val="24"/>
          <w14:textFill>
            <w14:solidFill>
              <w14:schemeClr w14:val="tx1"/>
            </w14:solidFill>
          </w14:textFill>
        </w:rPr>
      </w:pPr>
      <w:ins w:id="3" w:author="Administrator" w:date="2016-05-25T13:09:00Z">
        <w:r>
          <w:rPr>
            <w:rFonts w:hint="eastAsia" w:ascii="宋体" w:hAnsi="宋体"/>
            <w:color w:val="000000" w:themeColor="text1"/>
            <w:sz w:val="24"/>
            <w:szCs w:val="24"/>
            <w14:textFill>
              <w14:solidFill>
                <w14:schemeClr w14:val="tx1"/>
              </w14:solidFill>
            </w14:textFill>
          </w:rPr>
          <w:t>开户银行：中国工商银行上海市天目东路支行</w:t>
        </w:r>
      </w:ins>
    </w:p>
    <w:p w14:paraId="78178FB5">
      <w:pPr>
        <w:spacing w:line="480" w:lineRule="exact"/>
        <w:ind w:firstLine="480" w:firstLineChars="200"/>
        <w:rPr>
          <w:ins w:id="4" w:author="Administrator" w:date="2016-05-25T13:09:00Z"/>
          <w:rFonts w:hint="eastAsia" w:ascii="宋体" w:hAnsi="宋体"/>
          <w:color w:val="000000" w:themeColor="text1"/>
          <w:sz w:val="24"/>
          <w:szCs w:val="24"/>
          <w14:textFill>
            <w14:solidFill>
              <w14:schemeClr w14:val="tx1"/>
            </w14:solidFill>
          </w14:textFill>
        </w:rPr>
      </w:pPr>
      <w:ins w:id="5" w:author="Administrator" w:date="2016-05-25T13:09:00Z">
        <w:r>
          <w:rPr>
            <w:rFonts w:hint="eastAsia" w:ascii="宋体" w:hAnsi="宋体"/>
            <w:color w:val="000000" w:themeColor="text1"/>
            <w:sz w:val="24"/>
            <w:szCs w:val="24"/>
            <w14:textFill>
              <w14:solidFill>
                <w14:schemeClr w14:val="tx1"/>
              </w14:solidFill>
            </w14:textFill>
          </w:rPr>
          <w:t>户    名：中大华远认证中心（上海）有限公司</w:t>
        </w:r>
      </w:ins>
      <w:ins w:id="6" w:author="Administrator" w:date="2016-05-25T13:09:00Z">
        <w:r>
          <w:rPr>
            <w:rFonts w:hint="eastAsia" w:ascii="宋体" w:hAnsi="宋体"/>
            <w:color w:val="000000" w:themeColor="text1"/>
            <w:sz w:val="24"/>
            <w:szCs w:val="24"/>
            <w14:textFill>
              <w14:solidFill>
                <w14:schemeClr w14:val="tx1"/>
              </w14:solidFill>
            </w14:textFill>
          </w:rPr>
          <w:tab/>
        </w:r>
      </w:ins>
    </w:p>
    <w:p w14:paraId="387F7828">
      <w:pPr>
        <w:spacing w:line="480" w:lineRule="exact"/>
        <w:ind w:firstLine="480" w:firstLineChars="200"/>
        <w:rPr>
          <w:rFonts w:hint="eastAsia" w:ascii="宋体" w:hAnsi="宋体"/>
          <w:color w:val="000000"/>
          <w:sz w:val="28"/>
          <w:szCs w:val="28"/>
        </w:rPr>
      </w:pPr>
      <w:ins w:id="7" w:author="Administrator" w:date="2016-05-25T13:09:00Z">
        <w:r>
          <w:rPr>
            <w:rFonts w:hint="eastAsia" w:ascii="宋体" w:hAnsi="宋体"/>
            <w:color w:val="000000" w:themeColor="text1"/>
            <w:sz w:val="24"/>
            <w:szCs w:val="24"/>
            <w14:textFill>
              <w14:solidFill>
                <w14:schemeClr w14:val="tx1"/>
              </w14:solidFill>
            </w14:textFill>
          </w:rPr>
          <w:t>帐    号：1001215519300902316</w:t>
        </w:r>
      </w:ins>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sz w:val="28"/>
          <w:szCs w:val="28"/>
        </w:rPr>
        <w:t xml:space="preserve">                           </w:t>
      </w:r>
    </w:p>
    <w:p w14:paraId="0D3172B2">
      <w:pPr>
        <w:spacing w:before="120" w:beforeLines="50" w:line="480" w:lineRule="exact"/>
        <w:ind w:left="74"/>
        <w:rPr>
          <w:rFonts w:hint="eastAsia" w:ascii="宋体" w:hAnsi="宋体"/>
          <w:b/>
          <w:color w:val="000000"/>
          <w:sz w:val="28"/>
          <w:szCs w:val="28"/>
        </w:rPr>
      </w:pPr>
      <w:r>
        <w:rPr>
          <w:rFonts w:hint="eastAsia" w:ascii="宋体" w:hAnsi="宋体"/>
          <w:b/>
          <w:color w:val="000000"/>
          <w:sz w:val="28"/>
          <w:szCs w:val="28"/>
        </w:rPr>
        <w:t>（七）发票信息</w:t>
      </w:r>
    </w:p>
    <w:p w14:paraId="3D09DA2D">
      <w:pPr>
        <w:spacing w:line="480" w:lineRule="exact"/>
        <w:ind w:firstLine="565" w:firstLineChars="202"/>
        <w:rPr>
          <w:rFonts w:hint="eastAsia" w:ascii="宋体" w:hAnsi="宋体"/>
          <w:color w:val="000000"/>
          <w:sz w:val="28"/>
          <w:szCs w:val="28"/>
        </w:rPr>
      </w:pPr>
      <w:r>
        <w:rPr>
          <w:rFonts w:hint="eastAsia" w:ascii="宋体" w:hAnsi="宋体"/>
          <w:color w:val="000000"/>
          <w:sz w:val="28"/>
          <w:szCs w:val="28"/>
        </w:rPr>
        <w:t>甲方需要发票类型：□ 增值税普通发票；□ 增值税专用发票。</w:t>
      </w:r>
    </w:p>
    <w:p w14:paraId="3E03BD13">
      <w:pPr>
        <w:spacing w:line="480" w:lineRule="exact"/>
        <w:ind w:firstLine="487" w:firstLineChars="202"/>
        <w:rPr>
          <w:rFonts w:hint="eastAsia" w:ascii="宋体" w:hAnsi="宋体"/>
          <w:b/>
          <w:color w:val="000000"/>
          <w:sz w:val="28"/>
          <w:szCs w:val="28"/>
        </w:rPr>
      </w:pPr>
      <w:r>
        <w:rPr>
          <w:rFonts w:hint="eastAsia" w:ascii="宋体" w:hAnsi="宋体"/>
          <w:b/>
          <w:color w:val="000000"/>
          <w:sz w:val="24"/>
        </w:rPr>
        <w:t xml:space="preserve"> </w:t>
      </w:r>
      <w:r>
        <w:rPr>
          <w:rFonts w:hint="eastAsia" w:ascii="宋体" w:hAnsi="宋体"/>
          <w:b/>
          <w:color w:val="000000"/>
          <w:sz w:val="28"/>
          <w:szCs w:val="28"/>
        </w:rPr>
        <w:t>需甲方提供开票所需信息。</w:t>
      </w:r>
    </w:p>
    <w:p w14:paraId="30795BBE">
      <w:pPr>
        <w:spacing w:before="240" w:beforeLines="100" w:line="480" w:lineRule="exact"/>
        <w:rPr>
          <w:rFonts w:hint="eastAsia" w:ascii="宋体" w:hAnsi="宋体"/>
          <w:b/>
          <w:color w:val="000000"/>
          <w:sz w:val="28"/>
          <w:szCs w:val="28"/>
        </w:rPr>
      </w:pPr>
      <w:r>
        <w:rPr>
          <w:rFonts w:hint="eastAsia" w:ascii="宋体" w:hAnsi="宋体"/>
          <w:b/>
          <w:color w:val="000000"/>
          <w:sz w:val="28"/>
          <w:szCs w:val="28"/>
        </w:rPr>
        <w:t>三、双方责任和义务</w:t>
      </w:r>
    </w:p>
    <w:p w14:paraId="3AC159B2">
      <w:pPr>
        <w:spacing w:line="480" w:lineRule="exact"/>
        <w:rPr>
          <w:rFonts w:hint="eastAsia" w:ascii="宋体" w:hAnsi="宋体"/>
          <w:b/>
          <w:color w:val="000000"/>
          <w:sz w:val="28"/>
          <w:szCs w:val="28"/>
        </w:rPr>
      </w:pPr>
      <w:r>
        <w:rPr>
          <w:rFonts w:hint="eastAsia" w:ascii="宋体" w:hAnsi="宋体"/>
          <w:b/>
          <w:color w:val="000000"/>
          <w:sz w:val="28"/>
          <w:szCs w:val="28"/>
        </w:rPr>
        <w:t>（一）甲方责任及义务：</w:t>
      </w:r>
    </w:p>
    <w:p w14:paraId="269ADB0E">
      <w:pPr>
        <w:numPr>
          <w:ilvl w:val="0"/>
          <w:numId w:val="4"/>
        </w:numPr>
        <w:spacing w:line="480" w:lineRule="exact"/>
        <w:ind w:left="0" w:firstLine="560" w:firstLineChars="200"/>
        <w:rPr>
          <w:rFonts w:hint="eastAsia" w:ascii="宋体" w:hAnsi="宋体"/>
          <w:color w:val="000000"/>
          <w:sz w:val="28"/>
          <w:szCs w:val="28"/>
        </w:rPr>
      </w:pPr>
      <w:r>
        <w:rPr>
          <w:rFonts w:hint="eastAsia" w:ascii="宋体" w:hAnsi="宋体"/>
          <w:color w:val="000000"/>
          <w:sz w:val="28"/>
          <w:szCs w:val="28"/>
        </w:rPr>
        <w:t>遵守国家法律法规；</w:t>
      </w:r>
    </w:p>
    <w:p w14:paraId="1DD27650">
      <w:pPr>
        <w:numPr>
          <w:ilvl w:val="0"/>
          <w:numId w:val="4"/>
        </w:numPr>
        <w:spacing w:line="480" w:lineRule="exact"/>
        <w:ind w:left="0" w:firstLine="560" w:firstLineChars="200"/>
        <w:rPr>
          <w:rFonts w:hint="eastAsia" w:ascii="宋体" w:hAnsi="宋体"/>
          <w:color w:val="000000"/>
          <w:sz w:val="28"/>
          <w:szCs w:val="28"/>
        </w:rPr>
      </w:pPr>
      <w:r>
        <w:rPr>
          <w:rFonts w:hint="eastAsia" w:ascii="宋体" w:hAnsi="宋体"/>
          <w:color w:val="000000"/>
          <w:sz w:val="28"/>
          <w:szCs w:val="28"/>
        </w:rPr>
        <w:t>获得评价后应持续有效按标准运行；</w:t>
      </w:r>
    </w:p>
    <w:p w14:paraId="2E11A6D1">
      <w:pPr>
        <w:numPr>
          <w:ilvl w:val="0"/>
          <w:numId w:val="4"/>
        </w:numPr>
        <w:autoSpaceDE w:val="0"/>
        <w:autoSpaceDN w:val="0"/>
        <w:spacing w:line="480" w:lineRule="exact"/>
        <w:ind w:left="0"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rPr>
        <w:t>甲方有权对乙方选派的评价组成员提出书面异议</w:t>
      </w:r>
      <w:r>
        <w:rPr>
          <w:rFonts w:hint="eastAsia" w:ascii="宋体" w:hAnsi="宋体"/>
          <w:color w:val="000000"/>
          <w:sz w:val="28"/>
          <w:szCs w:val="28"/>
        </w:rPr>
        <w:t>；</w:t>
      </w:r>
    </w:p>
    <w:p w14:paraId="76396BE6">
      <w:pPr>
        <w:numPr>
          <w:ilvl w:val="0"/>
          <w:numId w:val="4"/>
        </w:numPr>
        <w:autoSpaceDE w:val="0"/>
        <w:autoSpaceDN w:val="0"/>
        <w:spacing w:line="480" w:lineRule="exact"/>
        <w:ind w:left="0" w:firstLine="560" w:firstLineChars="200"/>
        <w:jc w:val="left"/>
        <w:textAlignment w:val="auto"/>
        <w:rPr>
          <w:rFonts w:hint="eastAsia" w:ascii="宋体" w:hAnsi="宋体"/>
          <w:color w:val="000000"/>
          <w:sz w:val="28"/>
          <w:szCs w:val="28"/>
        </w:rPr>
      </w:pPr>
      <w:r>
        <w:rPr>
          <w:rFonts w:hint="eastAsia" w:ascii="宋体" w:hAnsi="宋体" w:cs="宋体"/>
          <w:color w:val="000000"/>
          <w:sz w:val="28"/>
          <w:szCs w:val="28"/>
        </w:rPr>
        <w:t>甲方具有对外正确宣传其获得评价注册资格的权利，具有正确使用其评价证书和标志、引用评价结果进行宣传的合法权益；</w:t>
      </w:r>
    </w:p>
    <w:p w14:paraId="13ED5DCE">
      <w:pPr>
        <w:numPr>
          <w:ilvl w:val="0"/>
          <w:numId w:val="4"/>
        </w:numPr>
        <w:spacing w:line="480" w:lineRule="exact"/>
        <w:ind w:left="0" w:firstLine="560" w:firstLineChars="200"/>
        <w:rPr>
          <w:rFonts w:hint="eastAsia" w:ascii="宋体" w:hAnsi="宋体"/>
          <w:color w:val="000000"/>
          <w:sz w:val="28"/>
          <w:szCs w:val="28"/>
        </w:rPr>
      </w:pPr>
      <w:r>
        <w:rPr>
          <w:rFonts w:hint="eastAsia" w:ascii="宋体" w:hAnsi="宋体"/>
          <w:color w:val="000000"/>
          <w:sz w:val="28"/>
          <w:szCs w:val="28"/>
        </w:rPr>
        <w:t>按乙方要求提交本组织有效版本的必要的经营管理有关文件化信息；</w:t>
      </w:r>
    </w:p>
    <w:p w14:paraId="14345612">
      <w:pPr>
        <w:numPr>
          <w:ilvl w:val="0"/>
          <w:numId w:val="4"/>
        </w:numPr>
        <w:spacing w:line="480" w:lineRule="exact"/>
        <w:ind w:left="0" w:firstLine="536" w:firstLineChars="200"/>
        <w:rPr>
          <w:rFonts w:hint="eastAsia" w:ascii="宋体" w:hAnsi="宋体"/>
          <w:color w:val="000000"/>
          <w:spacing w:val="-6"/>
          <w:sz w:val="28"/>
          <w:szCs w:val="28"/>
        </w:rPr>
      </w:pPr>
      <w:r>
        <w:rPr>
          <w:rFonts w:hint="eastAsia" w:ascii="宋体" w:hAnsi="宋体"/>
          <w:color w:val="000000"/>
          <w:spacing w:val="-6"/>
          <w:sz w:val="28"/>
          <w:szCs w:val="28"/>
        </w:rPr>
        <w:t>评价期间为评价人员提供必要条件；适用时，为接纳到场的观察员提供条件；</w:t>
      </w:r>
    </w:p>
    <w:p w14:paraId="36D6A6CA">
      <w:pPr>
        <w:numPr>
          <w:ilvl w:val="0"/>
          <w:numId w:val="4"/>
        </w:numPr>
        <w:spacing w:line="480" w:lineRule="exact"/>
        <w:ind w:left="0" w:firstLine="560" w:firstLineChars="200"/>
        <w:rPr>
          <w:rFonts w:hint="eastAsia" w:ascii="宋体" w:hAnsi="宋体" w:cs="宋体"/>
          <w:color w:val="000000"/>
          <w:sz w:val="28"/>
          <w:szCs w:val="28"/>
        </w:rPr>
      </w:pPr>
      <w:r>
        <w:rPr>
          <w:rFonts w:hint="eastAsia" w:ascii="宋体" w:hAnsi="宋体" w:cs="宋体"/>
          <w:color w:val="000000"/>
          <w:sz w:val="28"/>
          <w:szCs w:val="28"/>
        </w:rPr>
        <w:t>在传播媒介（如互联网、宣传册或广告）或其他文件中引用评价状态时，应符合乙方的要求:</w:t>
      </w:r>
    </w:p>
    <w:p w14:paraId="63C95A57">
      <w:pPr>
        <w:pStyle w:val="14"/>
        <w:numPr>
          <w:ilvl w:val="0"/>
          <w:numId w:val="5"/>
        </w:numPr>
        <w:spacing w:line="480" w:lineRule="exact"/>
        <w:ind w:left="0" w:firstLine="560" w:firstLineChars="200"/>
        <w:rPr>
          <w:rFonts w:hint="eastAsia" w:ascii="宋体" w:hAnsi="宋体" w:cs="宋体"/>
          <w:sz w:val="28"/>
          <w:szCs w:val="28"/>
        </w:rPr>
      </w:pPr>
      <w:r>
        <w:rPr>
          <w:rFonts w:hint="eastAsia" w:ascii="宋体" w:hAnsi="宋体" w:cs="宋体"/>
          <w:sz w:val="28"/>
          <w:szCs w:val="28"/>
        </w:rPr>
        <w:t>不做出有关于</w:t>
      </w:r>
      <w:r>
        <w:rPr>
          <w:rFonts w:hint="eastAsia" w:ascii="宋体" w:hAnsi="宋体"/>
          <w:sz w:val="28"/>
          <w:szCs w:val="28"/>
        </w:rPr>
        <w:t>评价</w:t>
      </w:r>
      <w:r>
        <w:rPr>
          <w:rFonts w:hint="eastAsia" w:ascii="宋体" w:hAnsi="宋体" w:cs="宋体"/>
          <w:sz w:val="28"/>
          <w:szCs w:val="28"/>
        </w:rPr>
        <w:t>资格的误导性说明；</w:t>
      </w:r>
      <w:r>
        <w:rPr>
          <w:rFonts w:ascii="宋体" w:hAnsi="宋体" w:cs="宋体"/>
          <w:sz w:val="28"/>
          <w:szCs w:val="28"/>
        </w:rPr>
        <w:t xml:space="preserve"> </w:t>
      </w:r>
    </w:p>
    <w:p w14:paraId="3E9B95F8">
      <w:pPr>
        <w:pStyle w:val="14"/>
        <w:numPr>
          <w:ilvl w:val="0"/>
          <w:numId w:val="5"/>
        </w:numPr>
        <w:spacing w:line="480" w:lineRule="exact"/>
        <w:ind w:left="0" w:firstLine="560" w:firstLineChars="200"/>
        <w:rPr>
          <w:rFonts w:hint="eastAsia" w:ascii="宋体" w:hAnsi="宋体" w:cs="宋体"/>
          <w:sz w:val="28"/>
          <w:szCs w:val="28"/>
        </w:rPr>
      </w:pPr>
      <w:r>
        <w:rPr>
          <w:rFonts w:hint="eastAsia" w:ascii="宋体" w:hAnsi="宋体" w:cs="宋体"/>
          <w:sz w:val="28"/>
          <w:szCs w:val="28"/>
        </w:rPr>
        <w:t>不以误导性方式使用</w:t>
      </w:r>
      <w:r>
        <w:rPr>
          <w:rFonts w:hint="eastAsia" w:ascii="宋体" w:hAnsi="宋体"/>
          <w:sz w:val="28"/>
          <w:szCs w:val="28"/>
        </w:rPr>
        <w:t>评价</w:t>
      </w:r>
      <w:r>
        <w:rPr>
          <w:rFonts w:hint="eastAsia" w:ascii="宋体" w:hAnsi="宋体" w:cs="宋体"/>
          <w:sz w:val="28"/>
          <w:szCs w:val="28"/>
        </w:rPr>
        <w:t>文件或其任何部分；</w:t>
      </w:r>
      <w:r>
        <w:rPr>
          <w:rFonts w:ascii="宋体" w:hAnsi="宋体" w:cs="宋体"/>
          <w:sz w:val="28"/>
          <w:szCs w:val="28"/>
        </w:rPr>
        <w:t xml:space="preserve"> </w:t>
      </w:r>
    </w:p>
    <w:p w14:paraId="71D5272E">
      <w:pPr>
        <w:pStyle w:val="14"/>
        <w:numPr>
          <w:ilvl w:val="0"/>
          <w:numId w:val="5"/>
        </w:numPr>
        <w:spacing w:line="480" w:lineRule="exact"/>
        <w:ind w:left="0" w:firstLine="560" w:firstLineChars="200"/>
        <w:rPr>
          <w:rFonts w:hint="eastAsia" w:ascii="宋体" w:hAnsi="宋体" w:cs="宋体"/>
          <w:sz w:val="28"/>
          <w:szCs w:val="28"/>
        </w:rPr>
      </w:pPr>
      <w:r>
        <w:rPr>
          <w:rFonts w:hint="eastAsia" w:ascii="宋体" w:hAnsi="宋体" w:cs="宋体"/>
          <w:sz w:val="28"/>
          <w:szCs w:val="28"/>
        </w:rPr>
        <w:t>在评价证书被撤销时，按照乙方的要求立即停止使用所有引用评价资格的广告材料并及时将评价证书交回乙方；</w:t>
      </w:r>
    </w:p>
    <w:p w14:paraId="194CF29E">
      <w:pPr>
        <w:pStyle w:val="14"/>
        <w:numPr>
          <w:ilvl w:val="0"/>
          <w:numId w:val="5"/>
        </w:numPr>
        <w:spacing w:line="480" w:lineRule="exact"/>
        <w:ind w:left="0" w:firstLine="560" w:firstLineChars="200"/>
        <w:rPr>
          <w:rFonts w:hint="eastAsia" w:ascii="宋体" w:hAnsi="宋体" w:cs="宋体"/>
          <w:sz w:val="28"/>
          <w:szCs w:val="28"/>
        </w:rPr>
      </w:pPr>
      <w:r>
        <w:rPr>
          <w:rFonts w:hint="eastAsia" w:ascii="宋体" w:hAnsi="宋体" w:cs="宋体"/>
          <w:sz w:val="28"/>
          <w:szCs w:val="28"/>
        </w:rPr>
        <w:t>在评价范围缩小时，修改所有的广告材料；</w:t>
      </w:r>
      <w:r>
        <w:rPr>
          <w:rFonts w:ascii="宋体" w:hAnsi="宋体" w:cs="宋体"/>
          <w:sz w:val="28"/>
          <w:szCs w:val="28"/>
        </w:rPr>
        <w:t xml:space="preserve"> </w:t>
      </w:r>
    </w:p>
    <w:p w14:paraId="3804683F">
      <w:pPr>
        <w:pStyle w:val="14"/>
        <w:numPr>
          <w:ilvl w:val="0"/>
          <w:numId w:val="5"/>
        </w:numPr>
        <w:spacing w:line="480" w:lineRule="exact"/>
        <w:ind w:left="0" w:firstLine="560" w:firstLineChars="200"/>
        <w:rPr>
          <w:rFonts w:hint="eastAsia" w:ascii="宋体" w:hAnsi="宋体" w:cs="宋体"/>
          <w:sz w:val="28"/>
          <w:szCs w:val="28"/>
        </w:rPr>
      </w:pPr>
      <w:r>
        <w:rPr>
          <w:rFonts w:hint="eastAsia" w:ascii="宋体" w:hAnsi="宋体" w:cs="宋体"/>
          <w:sz w:val="28"/>
          <w:szCs w:val="28"/>
        </w:rPr>
        <w:t>不得利用评价证书和相关文字、符号误导公众认为其产品、管理体系通过认证；</w:t>
      </w:r>
    </w:p>
    <w:p w14:paraId="1C20125B">
      <w:pPr>
        <w:pStyle w:val="14"/>
        <w:numPr>
          <w:ilvl w:val="0"/>
          <w:numId w:val="5"/>
        </w:numPr>
        <w:spacing w:line="480" w:lineRule="exact"/>
        <w:ind w:left="0" w:firstLine="560" w:firstLineChars="200"/>
        <w:rPr>
          <w:rFonts w:hint="eastAsia" w:ascii="宋体" w:hAnsi="宋体" w:cs="宋体"/>
          <w:sz w:val="28"/>
          <w:szCs w:val="28"/>
        </w:rPr>
      </w:pPr>
      <w:r>
        <w:rPr>
          <w:rFonts w:hint="eastAsia" w:ascii="宋体" w:hAnsi="宋体" w:cs="宋体"/>
          <w:sz w:val="28"/>
          <w:szCs w:val="28"/>
        </w:rPr>
        <w:t>不得暗示评价资格适用于评价范围以外的活动和场所；</w:t>
      </w:r>
      <w:r>
        <w:rPr>
          <w:rFonts w:ascii="宋体" w:hAnsi="宋体" w:cs="宋体"/>
          <w:sz w:val="28"/>
          <w:szCs w:val="28"/>
        </w:rPr>
        <w:t xml:space="preserve"> </w:t>
      </w:r>
    </w:p>
    <w:p w14:paraId="156CDBE4">
      <w:pPr>
        <w:numPr>
          <w:ilvl w:val="0"/>
          <w:numId w:val="5"/>
        </w:numPr>
        <w:spacing w:line="480" w:lineRule="exact"/>
        <w:ind w:left="0" w:firstLine="536" w:firstLineChars="200"/>
        <w:rPr>
          <w:rFonts w:hint="eastAsia" w:ascii="宋体" w:hAnsi="宋体"/>
          <w:color w:val="000000"/>
          <w:spacing w:val="-6"/>
          <w:sz w:val="28"/>
          <w:szCs w:val="28"/>
        </w:rPr>
      </w:pPr>
      <w:r>
        <w:rPr>
          <w:rFonts w:hint="eastAsia" w:ascii="宋体" w:hAnsi="宋体" w:cs="宋体"/>
          <w:color w:val="000000"/>
          <w:spacing w:val="-6"/>
          <w:sz w:val="28"/>
          <w:szCs w:val="28"/>
        </w:rPr>
        <w:t>在使用评价资格时，不得使乙方和(或)评价制度声誉受损，失去公众信任。</w:t>
      </w:r>
    </w:p>
    <w:p w14:paraId="0C3C8177">
      <w:pPr>
        <w:numPr>
          <w:ilvl w:val="0"/>
          <w:numId w:val="4"/>
        </w:numPr>
        <w:spacing w:line="480" w:lineRule="exact"/>
        <w:ind w:left="0" w:firstLine="560" w:firstLineChars="200"/>
        <w:rPr>
          <w:rFonts w:hint="eastAsia" w:ascii="宋体" w:hAnsi="宋体"/>
          <w:color w:val="000000"/>
          <w:sz w:val="28"/>
          <w:szCs w:val="28"/>
        </w:rPr>
      </w:pPr>
      <w:r>
        <w:rPr>
          <w:rFonts w:hint="eastAsia" w:ascii="宋体" w:hAnsi="宋体"/>
          <w:color w:val="000000"/>
          <w:sz w:val="28"/>
          <w:szCs w:val="28"/>
        </w:rPr>
        <w:t>对获证范围的经营活动管理的有效性和出现违反法规的相应事故负责；</w:t>
      </w:r>
    </w:p>
    <w:p w14:paraId="083F5839">
      <w:pPr>
        <w:numPr>
          <w:ilvl w:val="0"/>
          <w:numId w:val="4"/>
        </w:numPr>
        <w:spacing w:line="480" w:lineRule="exact"/>
        <w:ind w:left="0" w:firstLine="560" w:firstLineChars="200"/>
        <w:rPr>
          <w:rFonts w:hint="eastAsia" w:ascii="宋体" w:hAnsi="宋体" w:cs="宋体"/>
          <w:color w:val="000000"/>
          <w:sz w:val="28"/>
          <w:szCs w:val="28"/>
        </w:rPr>
      </w:pPr>
      <w:r>
        <w:rPr>
          <w:rFonts w:hint="eastAsia" w:ascii="宋体" w:hAnsi="宋体"/>
          <w:color w:val="000000"/>
          <w:sz w:val="28"/>
          <w:szCs w:val="28"/>
        </w:rPr>
        <w:t>当发生</w:t>
      </w:r>
      <w:r>
        <w:rPr>
          <w:rFonts w:hint="eastAsia" w:ascii="宋体" w:hAnsi="宋体" w:cs="宋体"/>
          <w:color w:val="000000"/>
          <w:sz w:val="28"/>
          <w:szCs w:val="28"/>
        </w:rPr>
        <w:t>可能影响经营管理活动持续满足评价标准要求的能力的事宜时，应尽快通知乙方，包括（但不限于）与下列方面有关的变更：</w:t>
      </w:r>
      <w:r>
        <w:rPr>
          <w:rFonts w:ascii="宋体" w:hAnsi="宋体" w:cs="宋体"/>
          <w:color w:val="000000"/>
          <w:sz w:val="28"/>
          <w:szCs w:val="28"/>
        </w:rPr>
        <w:t xml:space="preserve"> </w:t>
      </w:r>
    </w:p>
    <w:p w14:paraId="012839B5">
      <w:pPr>
        <w:pStyle w:val="14"/>
        <w:numPr>
          <w:ilvl w:val="0"/>
          <w:numId w:val="6"/>
        </w:numPr>
        <w:spacing w:line="480" w:lineRule="exact"/>
        <w:ind w:left="0" w:firstLine="560" w:firstLineChars="200"/>
        <w:rPr>
          <w:rFonts w:hint="eastAsia" w:ascii="宋体" w:hAnsi="宋体"/>
          <w:sz w:val="28"/>
          <w:szCs w:val="28"/>
        </w:rPr>
      </w:pPr>
      <w:r>
        <w:rPr>
          <w:rFonts w:hint="eastAsia" w:ascii="宋体" w:hAnsi="宋体"/>
          <w:sz w:val="28"/>
          <w:szCs w:val="28"/>
        </w:rPr>
        <w:t>法律地位、经营状况、组织状态或所有权；</w:t>
      </w:r>
    </w:p>
    <w:p w14:paraId="7F3A94AA">
      <w:pPr>
        <w:pStyle w:val="14"/>
        <w:numPr>
          <w:ilvl w:val="0"/>
          <w:numId w:val="6"/>
        </w:numPr>
        <w:spacing w:line="480" w:lineRule="exact"/>
        <w:ind w:left="0" w:firstLine="560" w:firstLineChars="200"/>
        <w:rPr>
          <w:rFonts w:hint="eastAsia" w:ascii="宋体" w:hAnsi="宋体"/>
          <w:sz w:val="28"/>
          <w:szCs w:val="28"/>
        </w:rPr>
      </w:pPr>
      <w:r>
        <w:rPr>
          <w:rFonts w:hint="eastAsia" w:ascii="宋体" w:hAnsi="宋体"/>
          <w:sz w:val="28"/>
          <w:szCs w:val="28"/>
        </w:rPr>
        <w:t>取得的行政许可资格、强制性认证或其他资质证书；</w:t>
      </w:r>
    </w:p>
    <w:p w14:paraId="05663BA4">
      <w:pPr>
        <w:pStyle w:val="14"/>
        <w:numPr>
          <w:ilvl w:val="0"/>
          <w:numId w:val="6"/>
        </w:numPr>
        <w:spacing w:line="480" w:lineRule="exact"/>
        <w:ind w:left="0" w:firstLine="566" w:firstLineChars="218"/>
        <w:rPr>
          <w:rFonts w:hint="eastAsia" w:ascii="宋体" w:hAnsi="宋体"/>
          <w:spacing w:val="-10"/>
          <w:sz w:val="28"/>
          <w:szCs w:val="28"/>
        </w:rPr>
      </w:pPr>
      <w:r>
        <w:rPr>
          <w:rFonts w:hint="eastAsia" w:ascii="宋体" w:hAnsi="宋体"/>
          <w:spacing w:val="-10"/>
          <w:sz w:val="28"/>
          <w:szCs w:val="28"/>
        </w:rPr>
        <w:t>组织和管理层（如法定代表人、主要管理决策或技术人员、主要联系人）；</w:t>
      </w:r>
      <w:r>
        <w:rPr>
          <w:rFonts w:ascii="宋体" w:hAnsi="宋体"/>
          <w:spacing w:val="-10"/>
          <w:sz w:val="28"/>
          <w:szCs w:val="28"/>
        </w:rPr>
        <w:t xml:space="preserve"> </w:t>
      </w:r>
    </w:p>
    <w:p w14:paraId="3E0AC796">
      <w:pPr>
        <w:pStyle w:val="14"/>
        <w:numPr>
          <w:ilvl w:val="0"/>
          <w:numId w:val="6"/>
        </w:numPr>
        <w:spacing w:line="480" w:lineRule="exact"/>
        <w:ind w:left="0" w:firstLine="560" w:firstLineChars="200"/>
        <w:rPr>
          <w:rFonts w:hint="eastAsia" w:ascii="宋体" w:hAnsi="宋体"/>
          <w:sz w:val="28"/>
          <w:szCs w:val="28"/>
        </w:rPr>
      </w:pPr>
      <w:r>
        <w:rPr>
          <w:rFonts w:hint="eastAsia" w:ascii="宋体" w:hAnsi="宋体"/>
          <w:sz w:val="28"/>
          <w:szCs w:val="28"/>
        </w:rPr>
        <w:t>联系地址、经营活动场所（地址、规模）和经营活动范围；</w:t>
      </w:r>
      <w:r>
        <w:rPr>
          <w:rFonts w:ascii="宋体" w:hAnsi="宋体"/>
          <w:sz w:val="28"/>
          <w:szCs w:val="28"/>
        </w:rPr>
        <w:t xml:space="preserve"> </w:t>
      </w:r>
    </w:p>
    <w:p w14:paraId="3E97AA7F">
      <w:pPr>
        <w:pStyle w:val="14"/>
        <w:numPr>
          <w:ilvl w:val="0"/>
          <w:numId w:val="6"/>
        </w:numPr>
        <w:spacing w:line="480" w:lineRule="exact"/>
        <w:ind w:left="0" w:firstLine="560" w:firstLineChars="200"/>
        <w:rPr>
          <w:rFonts w:hint="eastAsia" w:ascii="宋体" w:hAnsi="宋体"/>
          <w:sz w:val="28"/>
          <w:szCs w:val="28"/>
        </w:rPr>
      </w:pPr>
      <w:r>
        <w:rPr>
          <w:rFonts w:hint="eastAsia" w:ascii="宋体" w:hAnsi="宋体"/>
          <w:sz w:val="28"/>
          <w:szCs w:val="28"/>
        </w:rPr>
        <w:t>发生违法违规行为、违法失信行为或发生损害国家安全、社会秩序、公共利益、个人生命财产安全事故或事件的，</w:t>
      </w:r>
      <w:r>
        <w:rPr>
          <w:rFonts w:ascii="宋体" w:hAnsi="宋体"/>
          <w:sz w:val="28"/>
          <w:szCs w:val="28"/>
        </w:rPr>
        <w:t>被各级行政主管部门</w:t>
      </w:r>
      <w:r>
        <w:rPr>
          <w:rFonts w:hint="eastAsia" w:ascii="宋体" w:hAnsi="宋体"/>
          <w:sz w:val="28"/>
          <w:szCs w:val="28"/>
        </w:rPr>
        <w:t>、市场监督管理部门列入严重违法失信主体名单的，或列入经营异常名录的，或被</w:t>
      </w:r>
      <w:r>
        <w:rPr>
          <w:rFonts w:ascii="宋体" w:hAnsi="宋体"/>
          <w:sz w:val="28"/>
          <w:szCs w:val="28"/>
        </w:rPr>
        <w:t>列入重点监管范围的</w:t>
      </w:r>
      <w:r>
        <w:rPr>
          <w:rFonts w:hint="eastAsia" w:ascii="宋体" w:hAnsi="宋体"/>
          <w:sz w:val="28"/>
          <w:szCs w:val="28"/>
        </w:rPr>
        <w:t>，</w:t>
      </w:r>
      <w:r>
        <w:rPr>
          <w:rFonts w:ascii="宋体" w:hAnsi="宋体"/>
          <w:sz w:val="28"/>
          <w:szCs w:val="28"/>
        </w:rPr>
        <w:t>或</w:t>
      </w:r>
      <w:r>
        <w:rPr>
          <w:rFonts w:hint="eastAsia" w:ascii="宋体" w:hAnsi="宋体"/>
          <w:sz w:val="28"/>
          <w:szCs w:val="28"/>
        </w:rPr>
        <w:t>被纳入</w:t>
      </w:r>
      <w:r>
        <w:rPr>
          <w:rFonts w:ascii="宋体" w:hAnsi="宋体"/>
          <w:sz w:val="28"/>
          <w:szCs w:val="28"/>
        </w:rPr>
        <w:t>联合失信惩戒</w:t>
      </w:r>
      <w:r>
        <w:rPr>
          <w:rFonts w:hint="eastAsia" w:ascii="宋体" w:hAnsi="宋体"/>
          <w:sz w:val="28"/>
          <w:szCs w:val="28"/>
        </w:rPr>
        <w:t>对象名单的，或被责令停业整顿的；</w:t>
      </w:r>
    </w:p>
    <w:p w14:paraId="5B749E48">
      <w:pPr>
        <w:pStyle w:val="14"/>
        <w:numPr>
          <w:ilvl w:val="0"/>
          <w:numId w:val="6"/>
        </w:numPr>
        <w:spacing w:line="480" w:lineRule="exact"/>
        <w:ind w:left="0" w:firstLine="560" w:firstLineChars="200"/>
        <w:rPr>
          <w:rFonts w:hint="eastAsia" w:ascii="宋体" w:hAnsi="宋体"/>
          <w:sz w:val="28"/>
          <w:szCs w:val="28"/>
        </w:rPr>
      </w:pPr>
      <w:r>
        <w:rPr>
          <w:rFonts w:hint="eastAsia" w:ascii="宋体" w:hAnsi="宋体" w:cs="宋体"/>
          <w:sz w:val="28"/>
          <w:szCs w:val="28"/>
        </w:rPr>
        <w:t>与评价有关的其他重要</w:t>
      </w:r>
      <w:r>
        <w:rPr>
          <w:rFonts w:hint="eastAsia" w:ascii="宋体" w:hAnsi="宋体"/>
          <w:sz w:val="28"/>
          <w:szCs w:val="28"/>
        </w:rPr>
        <w:t>情况。</w:t>
      </w:r>
    </w:p>
    <w:p w14:paraId="23E90953">
      <w:pPr>
        <w:pStyle w:val="14"/>
        <w:spacing w:line="480" w:lineRule="exact"/>
        <w:ind w:firstLine="480" w:firstLineChars="200"/>
        <w:rPr>
          <w:rFonts w:hint="eastAsia" w:ascii="宋体" w:hAnsi="宋体"/>
          <w:sz w:val="28"/>
          <w:szCs w:val="28"/>
        </w:rPr>
      </w:pPr>
      <w:r>
        <w:rPr>
          <w:rFonts w:hint="eastAsia" w:ascii="华文楷体" w:hAnsi="华文楷体" w:eastAsia="华文楷体" w:cs="Times New Roman"/>
        </w:rPr>
        <w:t>注：</w:t>
      </w:r>
      <w:r>
        <w:rPr>
          <w:rFonts w:ascii="华文楷体" w:hAnsi="华文楷体" w:eastAsia="华文楷体" w:cs="Times New Roman"/>
        </w:rPr>
        <w:t>以上变更须在十个工作日内向乙方通报，乙方将按照有关规定进行处理。</w:t>
      </w:r>
    </w:p>
    <w:p w14:paraId="3E176E79">
      <w:pPr>
        <w:spacing w:before="120" w:beforeLines="50" w:line="480" w:lineRule="exact"/>
        <w:rPr>
          <w:rFonts w:hint="eastAsia" w:ascii="宋体" w:hAnsi="宋体"/>
          <w:b/>
          <w:color w:val="000000"/>
          <w:sz w:val="28"/>
          <w:szCs w:val="28"/>
        </w:rPr>
      </w:pPr>
      <w:r>
        <w:rPr>
          <w:rFonts w:hint="eastAsia" w:ascii="宋体" w:hAnsi="宋体"/>
          <w:b/>
          <w:color w:val="000000"/>
          <w:sz w:val="28"/>
          <w:szCs w:val="28"/>
        </w:rPr>
        <w:t>（二）乙方责任及义务：</w:t>
      </w:r>
    </w:p>
    <w:p w14:paraId="23F5F013">
      <w:pPr>
        <w:numPr>
          <w:ilvl w:val="0"/>
          <w:numId w:val="7"/>
        </w:numPr>
        <w:spacing w:line="480" w:lineRule="exact"/>
        <w:ind w:left="0" w:firstLine="565" w:firstLineChars="202"/>
        <w:jc w:val="left"/>
        <w:rPr>
          <w:rFonts w:hint="eastAsia" w:ascii="宋体" w:hAnsi="宋体"/>
          <w:color w:val="000000"/>
          <w:sz w:val="28"/>
          <w:szCs w:val="28"/>
        </w:rPr>
      </w:pPr>
      <w:r>
        <w:rPr>
          <w:rFonts w:hint="eastAsia" w:ascii="宋体" w:hAnsi="宋体"/>
          <w:color w:val="000000"/>
          <w:sz w:val="28"/>
          <w:szCs w:val="28"/>
        </w:rPr>
        <w:t>遵守国家法律法规和有关</w:t>
      </w:r>
      <w:r>
        <w:rPr>
          <w:rFonts w:hint="eastAsia" w:ascii="宋体" w:hAnsi="宋体" w:cs="宋体"/>
          <w:color w:val="000000"/>
          <w:sz w:val="28"/>
          <w:szCs w:val="28"/>
        </w:rPr>
        <w:t>评价</w:t>
      </w:r>
      <w:r>
        <w:rPr>
          <w:rFonts w:hint="eastAsia" w:ascii="宋体" w:hAnsi="宋体"/>
          <w:color w:val="000000"/>
          <w:sz w:val="28"/>
          <w:szCs w:val="28"/>
        </w:rPr>
        <w:t>规定；</w:t>
      </w:r>
    </w:p>
    <w:p w14:paraId="2D07D3C2">
      <w:pPr>
        <w:numPr>
          <w:ilvl w:val="0"/>
          <w:numId w:val="7"/>
        </w:numPr>
        <w:spacing w:line="480" w:lineRule="exact"/>
        <w:ind w:left="0" w:firstLine="565" w:firstLineChars="202"/>
        <w:jc w:val="left"/>
        <w:rPr>
          <w:rFonts w:ascii="宋体" w:cs="宋体"/>
          <w:color w:val="000000"/>
          <w:sz w:val="24"/>
          <w:szCs w:val="24"/>
        </w:rPr>
      </w:pPr>
      <w:r>
        <w:rPr>
          <w:rFonts w:hint="eastAsia" w:ascii="宋体" w:hAnsi="宋体"/>
          <w:color w:val="000000"/>
          <w:sz w:val="28"/>
          <w:szCs w:val="28"/>
        </w:rPr>
        <w:t>以评价标准为依据，严格依照程序开展</w:t>
      </w:r>
      <w:r>
        <w:rPr>
          <w:rFonts w:hint="eastAsia" w:ascii="宋体" w:hAnsi="宋体" w:cs="宋体"/>
          <w:color w:val="000000"/>
          <w:sz w:val="28"/>
          <w:szCs w:val="28"/>
        </w:rPr>
        <w:t>评价</w:t>
      </w:r>
      <w:r>
        <w:rPr>
          <w:rFonts w:hint="eastAsia" w:ascii="宋体" w:hAnsi="宋体"/>
          <w:color w:val="000000"/>
          <w:sz w:val="28"/>
          <w:szCs w:val="28"/>
        </w:rPr>
        <w:t>工作，依据客观证据做出评价决定；</w:t>
      </w:r>
    </w:p>
    <w:p w14:paraId="20537E90">
      <w:pPr>
        <w:numPr>
          <w:ilvl w:val="0"/>
          <w:numId w:val="7"/>
        </w:numPr>
        <w:spacing w:line="480" w:lineRule="exact"/>
        <w:ind w:left="0" w:firstLine="565" w:firstLineChars="202"/>
        <w:jc w:val="left"/>
        <w:rPr>
          <w:rFonts w:hint="eastAsia" w:ascii="宋体" w:hAnsi="宋体" w:cs="宋体"/>
          <w:color w:val="000000"/>
          <w:sz w:val="28"/>
          <w:szCs w:val="28"/>
        </w:rPr>
      </w:pPr>
      <w:r>
        <w:rPr>
          <w:rFonts w:hint="eastAsia" w:ascii="宋体" w:hAnsi="宋体" w:cs="宋体"/>
          <w:color w:val="000000"/>
          <w:sz w:val="28"/>
          <w:szCs w:val="28"/>
        </w:rPr>
        <w:t>乙方应按时组织实施评价工作，并提前将评价计划通知甲方；</w:t>
      </w:r>
    </w:p>
    <w:p w14:paraId="3E2B1FEC">
      <w:pPr>
        <w:numPr>
          <w:ilvl w:val="0"/>
          <w:numId w:val="7"/>
        </w:numPr>
        <w:spacing w:line="480" w:lineRule="exact"/>
        <w:ind w:left="0" w:firstLine="565" w:firstLineChars="202"/>
        <w:jc w:val="left"/>
        <w:rPr>
          <w:rFonts w:hint="eastAsia" w:ascii="宋体" w:hAnsi="宋体" w:cs="宋体"/>
          <w:color w:val="000000"/>
          <w:sz w:val="28"/>
          <w:szCs w:val="28"/>
        </w:rPr>
      </w:pPr>
      <w:r>
        <w:rPr>
          <w:rFonts w:hint="eastAsia" w:ascii="宋体" w:hAnsi="宋体" w:cs="宋体"/>
          <w:color w:val="000000"/>
          <w:sz w:val="28"/>
          <w:szCs w:val="28"/>
        </w:rPr>
        <w:t>乙方公开选派评价组成员，并征得甲方同意；</w:t>
      </w:r>
    </w:p>
    <w:p w14:paraId="177470C3">
      <w:pPr>
        <w:numPr>
          <w:ilvl w:val="0"/>
          <w:numId w:val="7"/>
        </w:numPr>
        <w:spacing w:line="480" w:lineRule="exact"/>
        <w:ind w:left="0" w:firstLine="565" w:firstLineChars="202"/>
        <w:jc w:val="left"/>
        <w:rPr>
          <w:rFonts w:hint="eastAsia" w:ascii="宋体" w:hAnsi="宋体" w:cs="宋体"/>
          <w:color w:val="000000"/>
          <w:sz w:val="28"/>
          <w:szCs w:val="28"/>
        </w:rPr>
      </w:pPr>
      <w:r>
        <w:rPr>
          <w:rFonts w:hint="eastAsia" w:ascii="宋体" w:hAnsi="宋体" w:cs="宋体"/>
          <w:color w:val="000000"/>
          <w:sz w:val="28"/>
          <w:szCs w:val="28"/>
        </w:rPr>
        <w:t>乙方应公正、科学、客观、实事求是地提出问题和处理问题；</w:t>
      </w:r>
    </w:p>
    <w:p w14:paraId="69169C04">
      <w:pPr>
        <w:numPr>
          <w:ilvl w:val="0"/>
          <w:numId w:val="7"/>
        </w:numPr>
        <w:spacing w:line="480" w:lineRule="exact"/>
        <w:ind w:left="0" w:firstLine="565" w:firstLineChars="202"/>
        <w:jc w:val="left"/>
        <w:rPr>
          <w:rFonts w:hint="eastAsia" w:ascii="宋体" w:hAnsi="宋体" w:cs="宋体"/>
          <w:color w:val="000000"/>
          <w:sz w:val="28"/>
          <w:szCs w:val="28"/>
        </w:rPr>
      </w:pPr>
      <w:r>
        <w:rPr>
          <w:rFonts w:hint="eastAsia" w:ascii="宋体" w:hAnsi="宋体" w:cs="宋体"/>
          <w:color w:val="000000"/>
          <w:sz w:val="28"/>
          <w:szCs w:val="28"/>
        </w:rPr>
        <w:t>乙方应具备评价资质，并且符合法律法规的要求。当评价要求有变化时，乙方应及时通知甲方；</w:t>
      </w:r>
    </w:p>
    <w:p w14:paraId="236C219E">
      <w:pPr>
        <w:numPr>
          <w:ilvl w:val="0"/>
          <w:numId w:val="7"/>
        </w:numPr>
        <w:spacing w:line="480" w:lineRule="exact"/>
        <w:ind w:left="0" w:firstLine="549" w:firstLineChars="202"/>
        <w:jc w:val="left"/>
        <w:rPr>
          <w:rFonts w:hint="eastAsia" w:ascii="宋体" w:hAnsi="宋体" w:cs="宋体"/>
          <w:color w:val="000000"/>
          <w:spacing w:val="-4"/>
          <w:sz w:val="28"/>
          <w:szCs w:val="28"/>
        </w:rPr>
      </w:pPr>
      <w:r>
        <w:rPr>
          <w:rFonts w:hint="eastAsia" w:ascii="宋体" w:hAnsi="宋体" w:cs="宋体"/>
          <w:color w:val="000000"/>
          <w:spacing w:val="-4"/>
          <w:sz w:val="28"/>
          <w:szCs w:val="28"/>
        </w:rPr>
        <w:t>乙方根据初次评价、再评价及监督评价的结果，应及时做出是否授予、保持、变更或撤销评价注册资格的决定，并办理相关手续及核发相关证书；</w:t>
      </w:r>
    </w:p>
    <w:p w14:paraId="06526DEA">
      <w:pPr>
        <w:numPr>
          <w:ilvl w:val="0"/>
          <w:numId w:val="7"/>
        </w:numPr>
        <w:spacing w:line="480" w:lineRule="exact"/>
        <w:ind w:left="0" w:firstLine="565" w:firstLineChars="202"/>
        <w:jc w:val="left"/>
        <w:rPr>
          <w:rFonts w:hint="eastAsia" w:ascii="宋体" w:hAnsi="宋体"/>
          <w:color w:val="000000"/>
          <w:spacing w:val="-6"/>
          <w:sz w:val="28"/>
          <w:szCs w:val="28"/>
        </w:rPr>
      </w:pPr>
      <w:r>
        <w:rPr>
          <w:rFonts w:hint="eastAsia" w:ascii="宋体" w:hAnsi="宋体" w:cs="宋体"/>
          <w:color w:val="000000"/>
          <w:sz w:val="28"/>
          <w:szCs w:val="28"/>
        </w:rPr>
        <w:t>乙方各个层次（包括代表乙方活动的委员会、外部机构或个人）</w:t>
      </w:r>
      <w:r>
        <w:rPr>
          <w:rFonts w:ascii="宋体" w:hAnsi="宋体" w:cs="宋体"/>
          <w:color w:val="000000"/>
          <w:sz w:val="28"/>
          <w:szCs w:val="28"/>
        </w:rPr>
        <w:t>不得将甲方经营状况及技术信息以任何方式泄漏给第三方，但下列情况除外：</w:t>
      </w:r>
    </w:p>
    <w:p w14:paraId="234F5060">
      <w:pPr>
        <w:pStyle w:val="14"/>
        <w:numPr>
          <w:ilvl w:val="0"/>
          <w:numId w:val="8"/>
        </w:numPr>
        <w:spacing w:line="480" w:lineRule="exact"/>
        <w:ind w:left="0" w:firstLine="565" w:firstLineChars="202"/>
        <w:rPr>
          <w:rFonts w:hint="eastAsia" w:ascii="宋体" w:hAnsi="宋体" w:cs="宋体"/>
          <w:sz w:val="28"/>
          <w:szCs w:val="28"/>
        </w:rPr>
      </w:pPr>
      <w:r>
        <w:rPr>
          <w:rFonts w:hint="eastAsia" w:ascii="宋体" w:hAnsi="宋体" w:cs="宋体"/>
          <w:sz w:val="28"/>
          <w:szCs w:val="28"/>
        </w:rPr>
        <w:t>合同签署前乙方在不违反任何保密责任情况下得到的消息；</w:t>
      </w:r>
    </w:p>
    <w:p w14:paraId="34CB265A">
      <w:pPr>
        <w:pStyle w:val="14"/>
        <w:numPr>
          <w:ilvl w:val="0"/>
          <w:numId w:val="8"/>
        </w:numPr>
        <w:spacing w:line="480" w:lineRule="exact"/>
        <w:ind w:left="0" w:firstLine="565" w:firstLineChars="202"/>
        <w:rPr>
          <w:rFonts w:hint="eastAsia" w:ascii="宋体" w:hAnsi="宋体" w:cs="宋体"/>
          <w:sz w:val="28"/>
          <w:szCs w:val="28"/>
        </w:rPr>
      </w:pPr>
      <w:r>
        <w:rPr>
          <w:rFonts w:hint="eastAsia" w:ascii="宋体" w:hAnsi="宋体" w:cs="宋体"/>
          <w:sz w:val="28"/>
          <w:szCs w:val="28"/>
        </w:rPr>
        <w:t>甲方已公开的资料；</w:t>
      </w:r>
    </w:p>
    <w:p w14:paraId="708B1C5D">
      <w:pPr>
        <w:pStyle w:val="14"/>
        <w:numPr>
          <w:ilvl w:val="0"/>
          <w:numId w:val="8"/>
        </w:numPr>
        <w:spacing w:line="480" w:lineRule="exact"/>
        <w:ind w:left="0" w:firstLine="565" w:firstLineChars="202"/>
        <w:rPr>
          <w:rFonts w:hint="eastAsia" w:ascii="宋体" w:hAnsi="宋体" w:cs="宋体"/>
          <w:sz w:val="28"/>
          <w:szCs w:val="28"/>
        </w:rPr>
      </w:pPr>
      <w:r>
        <w:rPr>
          <w:rFonts w:hint="eastAsia" w:ascii="宋体" w:hAnsi="宋体" w:cs="宋体"/>
          <w:sz w:val="28"/>
          <w:szCs w:val="28"/>
        </w:rPr>
        <w:t>法律另有要求时；</w:t>
      </w:r>
    </w:p>
    <w:p w14:paraId="23CC1B8A">
      <w:pPr>
        <w:pStyle w:val="14"/>
        <w:numPr>
          <w:ilvl w:val="0"/>
          <w:numId w:val="8"/>
        </w:numPr>
        <w:spacing w:line="480" w:lineRule="exact"/>
        <w:ind w:left="0" w:firstLine="565" w:firstLineChars="202"/>
        <w:rPr>
          <w:rFonts w:hint="eastAsia" w:ascii="宋体" w:hAnsi="宋体" w:cs="宋体"/>
          <w:sz w:val="28"/>
          <w:szCs w:val="28"/>
        </w:rPr>
      </w:pPr>
      <w:r>
        <w:rPr>
          <w:rFonts w:hint="eastAsia" w:ascii="宋体" w:hAnsi="宋体" w:cs="宋体"/>
          <w:sz w:val="28"/>
          <w:szCs w:val="28"/>
        </w:rPr>
        <w:t>国家主管部门或有管辖权的司法机构和仲裁机关做出判决、裁定、裁决等司法文书要求时。</w:t>
      </w:r>
    </w:p>
    <w:p w14:paraId="68494B6E">
      <w:pPr>
        <w:numPr>
          <w:ilvl w:val="0"/>
          <w:numId w:val="7"/>
        </w:numPr>
        <w:spacing w:line="480" w:lineRule="exact"/>
        <w:ind w:left="0" w:firstLine="541" w:firstLineChars="202"/>
        <w:jc w:val="left"/>
        <w:rPr>
          <w:rFonts w:hint="eastAsia" w:ascii="宋体" w:hAnsi="宋体"/>
          <w:color w:val="000000"/>
          <w:spacing w:val="-6"/>
          <w:sz w:val="28"/>
          <w:szCs w:val="28"/>
        </w:rPr>
      </w:pPr>
      <w:r>
        <w:rPr>
          <w:rFonts w:hint="eastAsia" w:ascii="宋体" w:hAnsi="宋体"/>
          <w:color w:val="000000"/>
          <w:spacing w:val="-6"/>
          <w:sz w:val="28"/>
          <w:szCs w:val="28"/>
        </w:rPr>
        <w:t>对甲方的经营活动管理过程的状况实施评价的有效性负责。</w:t>
      </w:r>
    </w:p>
    <w:p w14:paraId="5EDFB40B">
      <w:pPr>
        <w:spacing w:before="240" w:beforeLines="100" w:line="480" w:lineRule="exact"/>
        <w:rPr>
          <w:rFonts w:hint="eastAsia" w:ascii="宋体" w:hAnsi="宋体"/>
          <w:b/>
          <w:color w:val="000000"/>
          <w:sz w:val="28"/>
          <w:szCs w:val="28"/>
        </w:rPr>
      </w:pPr>
      <w:r>
        <w:rPr>
          <w:rFonts w:hint="eastAsia" w:ascii="宋体" w:hAnsi="宋体"/>
          <w:b/>
          <w:color w:val="000000"/>
          <w:sz w:val="28"/>
          <w:szCs w:val="28"/>
        </w:rPr>
        <w:t>四、说明：</w:t>
      </w:r>
    </w:p>
    <w:p w14:paraId="470AF837">
      <w:pPr>
        <w:numPr>
          <w:ilvl w:val="0"/>
          <w:numId w:val="9"/>
        </w:numPr>
        <w:spacing w:line="480" w:lineRule="exact"/>
        <w:ind w:left="0" w:firstLine="567"/>
        <w:jc w:val="left"/>
        <w:rPr>
          <w:rFonts w:hint="eastAsia" w:ascii="宋体" w:hAnsi="宋体" w:cs="宋体"/>
          <w:color w:val="000000"/>
          <w:sz w:val="28"/>
          <w:szCs w:val="28"/>
        </w:rPr>
      </w:pPr>
      <w:r>
        <w:rPr>
          <w:rFonts w:hint="eastAsia" w:ascii="宋体" w:hAnsi="宋体" w:cs="宋体"/>
          <w:color w:val="000000"/>
          <w:sz w:val="28"/>
          <w:szCs w:val="28"/>
        </w:rPr>
        <w:t>现场评价的具体时间由双方协商确定；</w:t>
      </w:r>
    </w:p>
    <w:p w14:paraId="0AE1373E">
      <w:pPr>
        <w:numPr>
          <w:ilvl w:val="0"/>
          <w:numId w:val="9"/>
        </w:numPr>
        <w:spacing w:line="480" w:lineRule="exact"/>
        <w:ind w:left="0" w:firstLine="565" w:firstLineChars="202"/>
        <w:jc w:val="left"/>
        <w:rPr>
          <w:rFonts w:hint="eastAsia" w:ascii="宋体" w:hAnsi="宋体" w:cs="宋体"/>
          <w:color w:val="000000"/>
          <w:sz w:val="28"/>
          <w:szCs w:val="28"/>
        </w:rPr>
      </w:pPr>
      <w:r>
        <w:rPr>
          <w:rFonts w:hint="eastAsia" w:ascii="宋体" w:hAnsi="宋体" w:cs="宋体"/>
          <w:color w:val="000000"/>
          <w:sz w:val="28"/>
          <w:szCs w:val="28"/>
        </w:rPr>
        <w:t>如果现场评价时出现因填报人数与实际人数相差较大等情况，而需增加评价人日数和相关费用时，甲方有责任予以满足；</w:t>
      </w:r>
    </w:p>
    <w:p w14:paraId="7D10F027">
      <w:pPr>
        <w:numPr>
          <w:ilvl w:val="0"/>
          <w:numId w:val="9"/>
        </w:numPr>
        <w:spacing w:line="480" w:lineRule="exact"/>
        <w:ind w:left="0" w:firstLine="565" w:firstLineChars="202"/>
        <w:jc w:val="left"/>
        <w:rPr>
          <w:rFonts w:hint="eastAsia" w:ascii="宋体" w:hAnsi="宋体" w:cs="宋体"/>
          <w:color w:val="000000"/>
          <w:spacing w:val="-4"/>
          <w:sz w:val="28"/>
          <w:szCs w:val="28"/>
        </w:rPr>
      </w:pPr>
      <w:r>
        <w:rPr>
          <w:rFonts w:hint="eastAsia" w:ascii="宋体" w:hAnsi="宋体" w:cs="宋体"/>
          <w:color w:val="000000"/>
          <w:sz w:val="28"/>
          <w:szCs w:val="28"/>
        </w:rPr>
        <w:t>本</w:t>
      </w:r>
      <w:r>
        <w:rPr>
          <w:rFonts w:hint="eastAsia" w:ascii="宋体" w:hAnsi="宋体" w:cs="宋体"/>
          <w:color w:val="000000"/>
          <w:spacing w:val="-4"/>
          <w:sz w:val="28"/>
          <w:szCs w:val="28"/>
        </w:rPr>
        <w:t>合同一式</w:t>
      </w:r>
      <w:r>
        <w:rPr>
          <w:rFonts w:hint="eastAsia" w:ascii="宋体" w:hAnsi="宋体" w:cs="宋体"/>
          <w:color w:val="000000"/>
          <w:spacing w:val="-4"/>
          <w:sz w:val="28"/>
          <w:szCs w:val="28"/>
          <w:lang w:val="en-US" w:eastAsia="zh-CN"/>
        </w:rPr>
        <w:t>叁</w:t>
      </w:r>
      <w:r>
        <w:rPr>
          <w:rFonts w:hint="eastAsia" w:ascii="宋体" w:hAnsi="宋体" w:cs="宋体"/>
          <w:color w:val="000000"/>
          <w:spacing w:val="-4"/>
          <w:sz w:val="28"/>
          <w:szCs w:val="28"/>
        </w:rPr>
        <w:t>份自双方签章之日起生效，甲方持一份，乙方持</w:t>
      </w:r>
      <w:r>
        <w:rPr>
          <w:rFonts w:hint="eastAsia" w:ascii="宋体" w:hAnsi="宋体" w:cs="宋体"/>
          <w:color w:val="000000"/>
          <w:spacing w:val="-4"/>
          <w:sz w:val="28"/>
          <w:szCs w:val="28"/>
          <w:lang w:val="en-US" w:eastAsia="zh-CN"/>
        </w:rPr>
        <w:t>两</w:t>
      </w:r>
      <w:r>
        <w:rPr>
          <w:rFonts w:hint="eastAsia" w:ascii="宋体" w:hAnsi="宋体" w:cs="宋体"/>
          <w:color w:val="000000"/>
          <w:spacing w:val="-4"/>
          <w:sz w:val="28"/>
          <w:szCs w:val="28"/>
        </w:rPr>
        <w:t>份</w:t>
      </w:r>
      <w:r>
        <w:rPr>
          <w:rFonts w:hint="eastAsia" w:ascii="宋体" w:hAnsi="宋体" w:cs="宋体"/>
          <w:color w:val="000000"/>
          <w:spacing w:val="-4"/>
          <w:sz w:val="28"/>
          <w:szCs w:val="28"/>
          <w:lang w:eastAsia="zh-CN"/>
        </w:rPr>
        <w:t>，</w:t>
      </w:r>
      <w:r>
        <w:rPr>
          <w:rFonts w:hint="eastAsia" w:ascii="宋体" w:hAnsi="宋体" w:cs="宋体"/>
          <w:color w:val="000000"/>
          <w:spacing w:val="-4"/>
          <w:sz w:val="28"/>
          <w:szCs w:val="28"/>
        </w:rPr>
        <w:t>具有同等的法律效力。合同执行中的未尽</w:t>
      </w:r>
      <w:bookmarkStart w:id="0" w:name="_GoBack"/>
      <w:bookmarkEnd w:id="0"/>
      <w:r>
        <w:rPr>
          <w:rFonts w:hint="eastAsia" w:ascii="宋体" w:hAnsi="宋体" w:cs="宋体"/>
          <w:color w:val="000000"/>
          <w:spacing w:val="-4"/>
          <w:sz w:val="28"/>
          <w:szCs w:val="28"/>
        </w:rPr>
        <w:t>事宜，经双方协商一致后，签订补充协议；</w:t>
      </w:r>
    </w:p>
    <w:p w14:paraId="0DDA15F0">
      <w:pPr>
        <w:numPr>
          <w:ilvl w:val="0"/>
          <w:numId w:val="9"/>
        </w:numPr>
        <w:spacing w:line="480" w:lineRule="exact"/>
        <w:ind w:left="0" w:firstLine="565" w:firstLineChars="202"/>
        <w:jc w:val="left"/>
        <w:rPr>
          <w:rFonts w:hint="eastAsia" w:ascii="宋体" w:hAnsi="宋体" w:cs="宋体"/>
          <w:color w:val="000000"/>
          <w:sz w:val="28"/>
          <w:szCs w:val="28"/>
        </w:rPr>
      </w:pPr>
      <w:r>
        <w:rPr>
          <w:rFonts w:hint="eastAsia" w:ascii="宋体" w:hAnsi="宋体" w:cs="宋体"/>
          <w:color w:val="000000"/>
          <w:sz w:val="28"/>
          <w:szCs w:val="28"/>
        </w:rPr>
        <w:t>甲乙双方必须认真执行合同，如签订合同后一方不能履行合同时，双方协商解决，由于终止合同所产生的经济损失由责任方承担；</w:t>
      </w:r>
    </w:p>
    <w:p w14:paraId="02883EC8">
      <w:pPr>
        <w:numPr>
          <w:ilvl w:val="0"/>
          <w:numId w:val="9"/>
        </w:numPr>
        <w:spacing w:line="480" w:lineRule="exact"/>
        <w:ind w:left="0" w:firstLine="565" w:firstLineChars="202"/>
        <w:jc w:val="left"/>
        <w:rPr>
          <w:rFonts w:hint="eastAsia" w:ascii="宋体" w:hAnsi="宋体" w:cs="宋体"/>
          <w:color w:val="000000"/>
          <w:sz w:val="28"/>
          <w:szCs w:val="28"/>
        </w:rPr>
      </w:pPr>
      <w:r>
        <w:rPr>
          <w:rFonts w:hint="eastAsia" w:ascii="宋体" w:hAnsi="宋体" w:cs="宋体"/>
          <w:color w:val="000000"/>
          <w:sz w:val="28"/>
          <w:szCs w:val="28"/>
        </w:rPr>
        <w:t>本合同自签定之日起至获证后三年为一个有效期满，到期双方未提出异议，本合同自动延续；</w:t>
      </w:r>
    </w:p>
    <w:p w14:paraId="3FDD20AD">
      <w:pPr>
        <w:numPr>
          <w:ilvl w:val="0"/>
          <w:numId w:val="9"/>
        </w:numPr>
        <w:spacing w:line="480" w:lineRule="exact"/>
        <w:ind w:left="0" w:firstLine="565" w:firstLineChars="202"/>
        <w:jc w:val="left"/>
        <w:rPr>
          <w:color w:val="000000"/>
          <w:sz w:val="28"/>
          <w:szCs w:val="28"/>
        </w:rPr>
      </w:pPr>
      <w:r>
        <w:rPr>
          <w:rFonts w:hint="eastAsia" w:ascii="宋体" w:hAnsi="宋体" w:cs="宋体"/>
          <w:color w:val="000000"/>
          <w:sz w:val="28"/>
          <w:szCs w:val="28"/>
        </w:rPr>
        <w:t>本合同所有条款均应满足中华人民共和国的法律、法规要求，因本合同所发生的争议，甲乙双方协商解决，如不能达成协议，可向乙方所在地人民法院提起诉讼。</w:t>
      </w:r>
    </w:p>
    <w:p w14:paraId="213B5229">
      <w:pPr>
        <w:spacing w:line="360" w:lineRule="auto"/>
        <w:ind w:left="566"/>
        <w:jc w:val="left"/>
        <w:rPr>
          <w:color w:val="000000"/>
          <w:sz w:val="28"/>
          <w:szCs w:val="28"/>
        </w:rPr>
      </w:pPr>
    </w:p>
    <w:tbl>
      <w:tblPr>
        <w:tblStyle w:val="5"/>
        <w:tblW w:w="9555" w:type="dxa"/>
        <w:tblInd w:w="0" w:type="dxa"/>
        <w:tblLayout w:type="fixed"/>
        <w:tblCellMar>
          <w:top w:w="0" w:type="dxa"/>
          <w:left w:w="0" w:type="dxa"/>
          <w:bottom w:w="0" w:type="dxa"/>
          <w:right w:w="0" w:type="dxa"/>
        </w:tblCellMar>
      </w:tblPr>
      <w:tblGrid>
        <w:gridCol w:w="4725"/>
        <w:gridCol w:w="4830"/>
      </w:tblGrid>
      <w:tr w14:paraId="0E5EC3CB">
        <w:tblPrEx>
          <w:tblCellMar>
            <w:top w:w="0" w:type="dxa"/>
            <w:left w:w="0" w:type="dxa"/>
            <w:bottom w:w="0" w:type="dxa"/>
            <w:right w:w="0" w:type="dxa"/>
          </w:tblCellMar>
        </w:tblPrEx>
        <w:tc>
          <w:tcPr>
            <w:tcW w:w="4725" w:type="dxa"/>
          </w:tcPr>
          <w:p w14:paraId="7BCBBA0B">
            <w:pPr>
              <w:spacing w:line="360" w:lineRule="auto"/>
              <w:rPr>
                <w:rFonts w:ascii="黑体" w:eastAsia="黑体"/>
                <w:color w:val="000000"/>
                <w:sz w:val="28"/>
                <w:szCs w:val="28"/>
              </w:rPr>
            </w:pPr>
            <w:r>
              <w:rPr>
                <w:rFonts w:hint="eastAsia" w:ascii="黑体" w:eastAsia="黑体"/>
                <w:color w:val="000000"/>
                <w:sz w:val="28"/>
                <w:szCs w:val="28"/>
              </w:rPr>
              <w:t>甲方：</w:t>
            </w:r>
          </w:p>
          <w:p w14:paraId="51AD3F51">
            <w:pPr>
              <w:spacing w:line="360" w:lineRule="auto"/>
              <w:rPr>
                <w:rFonts w:ascii="黑体" w:eastAsia="黑体"/>
                <w:color w:val="000000"/>
                <w:sz w:val="28"/>
                <w:szCs w:val="28"/>
              </w:rPr>
            </w:pPr>
            <w:r>
              <w:rPr>
                <w:rFonts w:hint="eastAsia" w:ascii="黑体" w:eastAsia="黑体"/>
                <w:color w:val="000000"/>
                <w:sz w:val="28"/>
                <w:szCs w:val="28"/>
              </w:rPr>
              <w:t>代表签字：</w:t>
            </w:r>
          </w:p>
        </w:tc>
        <w:tc>
          <w:tcPr>
            <w:tcW w:w="4830" w:type="dxa"/>
          </w:tcPr>
          <w:p w14:paraId="7E62E20F">
            <w:pPr>
              <w:spacing w:line="360" w:lineRule="auto"/>
              <w:rPr>
                <w:rFonts w:ascii="黑体" w:eastAsia="黑体"/>
                <w:color w:val="000000"/>
                <w:sz w:val="28"/>
                <w:szCs w:val="28"/>
              </w:rPr>
            </w:pPr>
            <w:r>
              <w:rPr>
                <w:rFonts w:hint="eastAsia" w:ascii="黑体" w:eastAsia="黑体"/>
                <w:color w:val="000000"/>
                <w:sz w:val="28"/>
                <w:szCs w:val="28"/>
              </w:rPr>
              <w:t>乙方：北京中大华远认证中心有限公司</w:t>
            </w:r>
          </w:p>
          <w:p w14:paraId="32875F46">
            <w:pPr>
              <w:spacing w:line="360" w:lineRule="auto"/>
              <w:rPr>
                <w:rFonts w:ascii="黑体" w:eastAsia="黑体"/>
                <w:color w:val="000000"/>
                <w:sz w:val="28"/>
                <w:szCs w:val="28"/>
              </w:rPr>
            </w:pPr>
            <w:r>
              <w:rPr>
                <w:rFonts w:hint="eastAsia" w:ascii="黑体" w:eastAsia="黑体"/>
                <w:color w:val="000000"/>
                <w:sz w:val="28"/>
                <w:szCs w:val="28"/>
              </w:rPr>
              <w:t>代表签字：</w:t>
            </w:r>
          </w:p>
        </w:tc>
      </w:tr>
      <w:tr w14:paraId="7DFE6A1D">
        <w:tblPrEx>
          <w:tblCellMar>
            <w:top w:w="0" w:type="dxa"/>
            <w:left w:w="0" w:type="dxa"/>
            <w:bottom w:w="0" w:type="dxa"/>
            <w:right w:w="0" w:type="dxa"/>
          </w:tblCellMar>
        </w:tblPrEx>
        <w:trPr>
          <w:trHeight w:val="776" w:hRule="atLeast"/>
        </w:trPr>
        <w:tc>
          <w:tcPr>
            <w:tcW w:w="4725" w:type="dxa"/>
          </w:tcPr>
          <w:p w14:paraId="648A0189">
            <w:pPr>
              <w:spacing w:line="360" w:lineRule="auto"/>
              <w:rPr>
                <w:rFonts w:ascii="黑体" w:eastAsia="黑体"/>
                <w:color w:val="000000"/>
                <w:sz w:val="28"/>
                <w:szCs w:val="28"/>
              </w:rPr>
            </w:pPr>
            <w:r>
              <w:rPr>
                <w:rFonts w:hint="eastAsia" w:ascii="黑体" w:eastAsia="黑体"/>
                <w:color w:val="000000"/>
                <w:sz w:val="28"/>
                <w:szCs w:val="28"/>
              </w:rPr>
              <w:t>甲方公章或合同专用章：</w:t>
            </w:r>
          </w:p>
        </w:tc>
        <w:tc>
          <w:tcPr>
            <w:tcW w:w="4830" w:type="dxa"/>
          </w:tcPr>
          <w:p w14:paraId="1D69C6DA">
            <w:pPr>
              <w:spacing w:line="360" w:lineRule="auto"/>
              <w:rPr>
                <w:rFonts w:ascii="黑体" w:eastAsia="黑体"/>
                <w:color w:val="000000"/>
                <w:sz w:val="28"/>
                <w:szCs w:val="28"/>
              </w:rPr>
            </w:pPr>
            <w:r>
              <w:rPr>
                <w:rFonts w:hint="eastAsia" w:ascii="黑体" w:eastAsia="黑体"/>
                <w:color w:val="000000"/>
                <w:sz w:val="28"/>
                <w:szCs w:val="28"/>
              </w:rPr>
              <w:t>乙方公章或合同专用章：</w:t>
            </w:r>
          </w:p>
        </w:tc>
      </w:tr>
      <w:tr w14:paraId="49F91A84">
        <w:tblPrEx>
          <w:tblCellMar>
            <w:top w:w="0" w:type="dxa"/>
            <w:left w:w="0" w:type="dxa"/>
            <w:bottom w:w="0" w:type="dxa"/>
            <w:right w:w="0" w:type="dxa"/>
          </w:tblCellMar>
        </w:tblPrEx>
        <w:tc>
          <w:tcPr>
            <w:tcW w:w="4725" w:type="dxa"/>
          </w:tcPr>
          <w:p w14:paraId="2439E155">
            <w:pPr>
              <w:spacing w:line="360" w:lineRule="auto"/>
              <w:ind w:firstLine="1960" w:firstLineChars="700"/>
              <w:jc w:val="left"/>
              <w:rPr>
                <w:rFonts w:ascii="黑体" w:eastAsia="黑体"/>
                <w:color w:val="000000"/>
                <w:sz w:val="28"/>
                <w:szCs w:val="28"/>
              </w:rPr>
            </w:pPr>
            <w:r>
              <w:rPr>
                <w:rFonts w:hint="eastAsia" w:ascii="黑体" w:eastAsia="黑体"/>
                <w:color w:val="000000"/>
                <w:sz w:val="28"/>
                <w:szCs w:val="28"/>
              </w:rPr>
              <w:t>年</w:t>
            </w:r>
            <w:r>
              <w:rPr>
                <w:rFonts w:ascii="黑体" w:eastAsia="黑体"/>
                <w:color w:val="000000"/>
                <w:sz w:val="28"/>
                <w:szCs w:val="28"/>
              </w:rPr>
              <w:t xml:space="preserve">   </w:t>
            </w:r>
            <w:r>
              <w:rPr>
                <w:rFonts w:hint="eastAsia" w:ascii="黑体" w:eastAsia="黑体"/>
                <w:color w:val="000000"/>
                <w:sz w:val="28"/>
                <w:szCs w:val="28"/>
              </w:rPr>
              <w:t>月</w:t>
            </w:r>
            <w:r>
              <w:rPr>
                <w:rFonts w:ascii="黑体" w:eastAsia="黑体"/>
                <w:color w:val="000000"/>
                <w:sz w:val="28"/>
                <w:szCs w:val="28"/>
              </w:rPr>
              <w:t xml:space="preserve">   </w:t>
            </w:r>
            <w:r>
              <w:rPr>
                <w:rFonts w:hint="eastAsia" w:ascii="黑体" w:eastAsia="黑体"/>
                <w:color w:val="000000"/>
                <w:sz w:val="28"/>
                <w:szCs w:val="28"/>
              </w:rPr>
              <w:t>日</w:t>
            </w:r>
          </w:p>
        </w:tc>
        <w:tc>
          <w:tcPr>
            <w:tcW w:w="4830" w:type="dxa"/>
          </w:tcPr>
          <w:p w14:paraId="5B864B06">
            <w:pPr>
              <w:spacing w:line="360" w:lineRule="auto"/>
              <w:ind w:firstLine="1960" w:firstLineChars="700"/>
              <w:rPr>
                <w:rFonts w:ascii="黑体" w:eastAsia="黑体"/>
                <w:color w:val="000000"/>
                <w:sz w:val="28"/>
                <w:szCs w:val="28"/>
              </w:rPr>
            </w:pPr>
            <w:r>
              <w:rPr>
                <w:rFonts w:hint="eastAsia" w:ascii="黑体" w:eastAsia="黑体"/>
                <w:color w:val="000000"/>
                <w:sz w:val="28"/>
                <w:szCs w:val="28"/>
              </w:rPr>
              <w:t>年</w:t>
            </w:r>
            <w:r>
              <w:rPr>
                <w:rFonts w:ascii="黑体" w:eastAsia="黑体"/>
                <w:color w:val="000000"/>
                <w:sz w:val="28"/>
                <w:szCs w:val="28"/>
              </w:rPr>
              <w:t xml:space="preserve">   </w:t>
            </w:r>
            <w:r>
              <w:rPr>
                <w:rFonts w:hint="eastAsia" w:ascii="黑体" w:eastAsia="黑体"/>
                <w:color w:val="000000"/>
                <w:sz w:val="28"/>
                <w:szCs w:val="28"/>
              </w:rPr>
              <w:t>月</w:t>
            </w:r>
            <w:r>
              <w:rPr>
                <w:rFonts w:ascii="黑体" w:eastAsia="黑体"/>
                <w:color w:val="000000"/>
                <w:sz w:val="28"/>
                <w:szCs w:val="28"/>
              </w:rPr>
              <w:t xml:space="preserve">   </w:t>
            </w:r>
            <w:r>
              <w:rPr>
                <w:rFonts w:hint="eastAsia" w:ascii="黑体" w:eastAsia="黑体"/>
                <w:color w:val="000000"/>
                <w:sz w:val="28"/>
                <w:szCs w:val="28"/>
              </w:rPr>
              <w:t>日</w:t>
            </w:r>
          </w:p>
        </w:tc>
      </w:tr>
    </w:tbl>
    <w:p w14:paraId="747B2506">
      <w:pPr>
        <w:spacing w:line="360" w:lineRule="auto"/>
        <w:rPr>
          <w:color w:val="000000"/>
          <w:sz w:val="28"/>
        </w:rPr>
      </w:pPr>
    </w:p>
    <w:sectPr>
      <w:headerReference r:id="rId8" w:type="default"/>
      <w:footerReference r:id="rId9" w:type="default"/>
      <w:endnotePr>
        <w:numFmt w:val="decimal"/>
      </w:endnotePr>
      <w:pgSz w:w="11907" w:h="16840"/>
      <w:pgMar w:top="1395" w:right="1191" w:bottom="1418" w:left="1191" w:header="567" w:footer="567"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0A18D">
    <w:pPr>
      <w:pStyle w:val="3"/>
      <w:jc w:val="both"/>
      <w:rPr>
        <w:rFonts w:eastAsia="黑体"/>
        <w:color w:val="000000"/>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A5BEB">
    <w:pPr>
      <w:pStyle w:val="3"/>
      <w:framePr w:wrap="around" w:vAnchor="text" w:hAnchor="margin" w:xAlign="center" w:y="1"/>
      <w:rPr>
        <w:rStyle w:val="8"/>
        <w:color w:val="000000"/>
      </w:rPr>
    </w:pPr>
    <w:r>
      <w:rPr>
        <w:color w:val="000000"/>
      </w:rPr>
      <w:fldChar w:fldCharType="begin"/>
    </w:r>
    <w:r>
      <w:rPr>
        <w:rStyle w:val="8"/>
        <w:color w:val="000000"/>
      </w:rPr>
      <w:instrText xml:space="preserve">PAGE  </w:instrText>
    </w:r>
    <w:r>
      <w:rPr>
        <w:color w:val="000000"/>
      </w:rPr>
      <w:fldChar w:fldCharType="separate"/>
    </w:r>
    <w:r>
      <w:rPr>
        <w:rStyle w:val="8"/>
        <w:color w:val="000000"/>
      </w:rPr>
      <w:t>1</w:t>
    </w:r>
    <w:r>
      <w:rPr>
        <w:color w:val="000000"/>
      </w:rPr>
      <w:fldChar w:fldCharType="end"/>
    </w:r>
  </w:p>
  <w:p w14:paraId="73B5242E">
    <w:pPr>
      <w:pStyle w:val="3"/>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E9D3">
    <w:pPr>
      <w:pStyle w:val="3"/>
      <w:jc w:val="center"/>
      <w:rPr>
        <w:sz w:val="21"/>
        <w:szCs w:val="21"/>
      </w:rPr>
    </w:pPr>
    <w:r>
      <w:rPr>
        <w:rFonts w:hint="eastAsia"/>
        <w:sz w:val="21"/>
        <w:szCs w:val="21"/>
      </w:rPr>
      <w:t>第</w:t>
    </w:r>
    <w:sdt>
      <w:sdtPr>
        <w:rPr>
          <w:sz w:val="21"/>
          <w:szCs w:val="21"/>
        </w:rPr>
        <w:id w:val="434874630"/>
      </w:sdtPr>
      <w:sdtEndPr>
        <w:rPr>
          <w:sz w:val="21"/>
          <w:szCs w:val="21"/>
        </w:rPr>
      </w:sdtEndPr>
      <w:sdtContent>
        <w:sdt>
          <w:sdtPr>
            <w:rPr>
              <w:sz w:val="21"/>
              <w:szCs w:val="21"/>
            </w:rPr>
            <w:id w:val="1728636285"/>
          </w:sdtPr>
          <w:sdtEndPr>
            <w:rPr>
              <w:sz w:val="21"/>
              <w:szCs w:val="21"/>
            </w:rPr>
          </w:sdtEndPr>
          <w:sdtContent>
            <w:r>
              <w:rPr>
                <w:sz w:val="21"/>
                <w:szCs w:val="21"/>
                <w:lang w:val="zh-CN"/>
              </w:rPr>
              <w:t xml:space="preserve"> </w:t>
            </w:r>
            <w:r>
              <w:rPr>
                <w:sz w:val="21"/>
                <w:szCs w:val="21"/>
              </w:rPr>
              <w:fldChar w:fldCharType="begin"/>
            </w:r>
            <w:r>
              <w:rPr>
                <w:sz w:val="21"/>
                <w:szCs w:val="21"/>
              </w:rPr>
              <w:instrText xml:space="preserve">PAGE</w:instrText>
            </w:r>
            <w:r>
              <w:rPr>
                <w:sz w:val="21"/>
                <w:szCs w:val="21"/>
              </w:rPr>
              <w:fldChar w:fldCharType="separate"/>
            </w:r>
            <w:r>
              <w:rPr>
                <w:sz w:val="21"/>
                <w:szCs w:val="21"/>
                <w:lang w:val="zh-CN"/>
              </w:rPr>
              <w:t>2</w:t>
            </w:r>
            <w:r>
              <w:rPr>
                <w:sz w:val="21"/>
                <w:szCs w:val="21"/>
              </w:rPr>
              <w:fldChar w:fldCharType="end"/>
            </w:r>
            <w:r>
              <w:rPr>
                <w:sz w:val="21"/>
                <w:szCs w:val="21"/>
                <w:lang w:val="zh-CN"/>
              </w:rPr>
              <w:t xml:space="preserve"> </w:t>
            </w:r>
            <w:r>
              <w:rPr>
                <w:rFonts w:hint="eastAsia"/>
                <w:sz w:val="21"/>
                <w:szCs w:val="21"/>
                <w:lang w:val="zh-CN"/>
              </w:rPr>
              <w:t>页</w:t>
            </w:r>
            <w:r>
              <w:rPr>
                <w:sz w:val="21"/>
                <w:szCs w:val="21"/>
                <w:lang w:val="zh-CN"/>
              </w:rPr>
              <w:t xml:space="preserve"> </w:t>
            </w:r>
            <w:r>
              <w:rPr>
                <w:rFonts w:hint="eastAsia"/>
                <w:sz w:val="21"/>
                <w:szCs w:val="21"/>
                <w:lang w:val="zh-CN"/>
              </w:rPr>
              <w:t xml:space="preserve">共 </w:t>
            </w:r>
            <w:r>
              <w:rPr>
                <w:sz w:val="21"/>
                <w:szCs w:val="21"/>
              </w:rPr>
              <w:t xml:space="preserve">5 </w:t>
            </w:r>
            <w:r>
              <w:rPr>
                <w:rFonts w:hint="eastAsia"/>
                <w:sz w:val="21"/>
                <w:szCs w:val="21"/>
              </w:rPr>
              <w:t>页</w:t>
            </w:r>
          </w:sdtContent>
        </w:sdt>
      </w:sdtContent>
    </w:sdt>
  </w:p>
  <w:p w14:paraId="0112212B">
    <w:pPr>
      <w:pStyle w:val="3"/>
      <w:ind w:firstLine="630" w:firstLineChars="300"/>
      <w:jc w:val="both"/>
      <w:rPr>
        <w:sz w:val="21"/>
        <w:szCs w:val="21"/>
      </w:rPr>
    </w:pPr>
    <w:r>
      <w:rPr>
        <w:rFonts w:hint="eastAsia" w:hAnsi="宋体" w:cs="宋体"/>
        <w:sz w:val="21"/>
        <w:szCs w:val="21"/>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20040" cy="210185"/>
          <wp:effectExtent l="0" t="0" r="0" b="0"/>
          <wp:wrapNone/>
          <wp:docPr id="3" name="图片 3"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大华远标志"/>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a:xfrm>
                    <a:off x="0" y="0"/>
                    <a:ext cx="320040" cy="210185"/>
                  </a:xfrm>
                  <a:prstGeom prst="rect">
                    <a:avLst/>
                  </a:prstGeom>
                  <a:noFill/>
                  <a:ln>
                    <a:noFill/>
                  </a:ln>
                </pic:spPr>
              </pic:pic>
            </a:graphicData>
          </a:graphic>
        </wp:anchor>
      </w:drawing>
    </w:r>
    <w:r>
      <w:rPr>
        <w:rStyle w:val="8"/>
        <w:rFonts w:hint="eastAsia" w:ascii="黑体" w:eastAsia="黑体"/>
        <w:sz w:val="21"/>
        <w:szCs w:val="21"/>
      </w:rPr>
      <w:t>北京中大华远认证中心有限公司</w:t>
    </w:r>
  </w:p>
  <w:p w14:paraId="2F8F161C">
    <w:pPr>
      <w:pStyle w:val="3"/>
      <w:rPr>
        <w:rFonts w:ascii="黑体" w:eastAsia="黑体"/>
        <w:b/>
        <w:bCs/>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5738">
    <w:pPr>
      <w:rPr>
        <w:color w:val="000000"/>
      </w:rPr>
    </w:pPr>
  </w:p>
  <w:tbl>
    <w:tblPr>
      <w:tblStyle w:val="5"/>
      <w:tblW w:w="9606" w:type="dxa"/>
      <w:tblInd w:w="-51" w:type="dxa"/>
      <w:tblLayout w:type="fixed"/>
      <w:tblCellMar>
        <w:top w:w="0" w:type="dxa"/>
        <w:left w:w="0" w:type="dxa"/>
        <w:bottom w:w="0" w:type="dxa"/>
        <w:right w:w="0" w:type="dxa"/>
      </w:tblCellMar>
    </w:tblPr>
    <w:tblGrid>
      <w:gridCol w:w="3564"/>
      <w:gridCol w:w="3837"/>
      <w:gridCol w:w="2205"/>
    </w:tblGrid>
    <w:tr w14:paraId="57CED9FF">
      <w:tblPrEx>
        <w:tblCellMar>
          <w:top w:w="0" w:type="dxa"/>
          <w:left w:w="0" w:type="dxa"/>
          <w:bottom w:w="0" w:type="dxa"/>
          <w:right w:w="0" w:type="dxa"/>
        </w:tblCellMar>
      </w:tblPrEx>
      <w:tc>
        <w:tcPr>
          <w:tcW w:w="3564" w:type="dxa"/>
        </w:tcPr>
        <w:p w14:paraId="6028D07D">
          <w:pPr>
            <w:spacing w:line="240" w:lineRule="auto"/>
            <w:rPr>
              <w:rFonts w:ascii="黑体" w:eastAsia="黑体"/>
              <w:color w:val="000000"/>
              <w:sz w:val="28"/>
            </w:rPr>
          </w:pPr>
          <w:r>
            <w:rPr>
              <w:rFonts w:ascii="黑体" w:eastAsia="黑体"/>
              <w:color w:val="000000"/>
              <w:sz w:val="28"/>
            </w:rPr>
            <w:t>CX-27-3-</w:t>
          </w:r>
          <w:r>
            <w:rPr>
              <w:rFonts w:hint="eastAsia" w:ascii="黑体" w:eastAsia="黑体"/>
              <w:color w:val="000000"/>
              <w:sz w:val="28"/>
            </w:rPr>
            <w:t>1/</w:t>
          </w:r>
          <w:r>
            <w:rPr>
              <w:rFonts w:ascii="黑体" w:eastAsia="黑体"/>
              <w:color w:val="000000"/>
              <w:sz w:val="28"/>
            </w:rPr>
            <w:t>H</w:t>
          </w:r>
        </w:p>
      </w:tc>
      <w:tc>
        <w:tcPr>
          <w:tcW w:w="3837" w:type="dxa"/>
        </w:tcPr>
        <w:p w14:paraId="18D340C0">
          <w:pPr>
            <w:spacing w:line="240" w:lineRule="auto"/>
            <w:jc w:val="right"/>
            <w:rPr>
              <w:rFonts w:ascii="黑体" w:eastAsia="黑体"/>
              <w:color w:val="000000"/>
              <w:sz w:val="28"/>
            </w:rPr>
          </w:pPr>
          <w:r>
            <w:rPr>
              <w:rFonts w:hint="eastAsia" w:ascii="黑体" w:eastAsia="黑体"/>
              <w:color w:val="000000"/>
              <w:sz w:val="28"/>
            </w:rPr>
            <w:t>建档编号：</w:t>
          </w:r>
        </w:p>
      </w:tc>
      <w:tc>
        <w:tcPr>
          <w:tcW w:w="2205" w:type="dxa"/>
          <w:tcBorders>
            <w:bottom w:val="single" w:color="auto" w:sz="6" w:space="0"/>
          </w:tcBorders>
        </w:tcPr>
        <w:p w14:paraId="7B67CA75">
          <w:pPr>
            <w:spacing w:line="240" w:lineRule="auto"/>
            <w:rPr>
              <w:rFonts w:ascii="黑体" w:eastAsia="黑体"/>
              <w:color w:val="000000"/>
              <w:sz w:val="28"/>
            </w:rPr>
          </w:pPr>
        </w:p>
      </w:tc>
    </w:tr>
  </w:tbl>
  <w:p w14:paraId="358DF044">
    <w:pPr>
      <w:pStyle w:val="4"/>
      <w:pBdr>
        <w:bottom w:val="none" w:color="auto" w:sz="0" w:space="0"/>
      </w:pBdr>
      <w:jc w:val="both"/>
      <w:rPr>
        <w:b/>
        <w:color w:val="000000"/>
        <w:spacing w:val="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9524" w:type="dxa"/>
      <w:tblInd w:w="108" w:type="dxa"/>
      <w:tblBorders>
        <w:top w:val="none" w:color="auto" w:sz="0"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1ADE993E">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4" w:type="dxa"/>
          <w:tcBorders>
            <w:bottom w:val="single" w:color="auto" w:sz="8" w:space="0"/>
          </w:tcBorders>
          <w:vAlign w:val="center"/>
        </w:tcPr>
        <w:p w14:paraId="767C553A">
          <w:pPr>
            <w:pStyle w:val="4"/>
            <w:pBdr>
              <w:bottom w:val="none" w:color="auto" w:sz="0" w:space="0"/>
            </w:pBdr>
            <w:rPr>
              <w:sz w:val="24"/>
              <w:szCs w:val="24"/>
            </w:rPr>
          </w:pPr>
          <w:r>
            <w:rPr>
              <w:rFonts w:hint="eastAsia"/>
              <w:sz w:val="24"/>
              <w:szCs w:val="24"/>
            </w:rPr>
            <w:t xml:space="preserve">评  价 </w:t>
          </w:r>
          <w:r>
            <w:rPr>
              <w:sz w:val="24"/>
              <w:szCs w:val="24"/>
            </w:rPr>
            <w:t xml:space="preserve"> </w:t>
          </w:r>
          <w:r>
            <w:rPr>
              <w:rFonts w:hint="eastAsia"/>
              <w:sz w:val="24"/>
              <w:szCs w:val="24"/>
            </w:rPr>
            <w:t xml:space="preserve">注 </w:t>
          </w:r>
          <w:r>
            <w:rPr>
              <w:sz w:val="24"/>
              <w:szCs w:val="24"/>
            </w:rPr>
            <w:t xml:space="preserve"> </w:t>
          </w:r>
          <w:r>
            <w:rPr>
              <w:rFonts w:hint="eastAsia"/>
              <w:sz w:val="24"/>
              <w:szCs w:val="24"/>
            </w:rPr>
            <w:t xml:space="preserve">册 </w:t>
          </w:r>
          <w:r>
            <w:rPr>
              <w:sz w:val="24"/>
              <w:szCs w:val="24"/>
            </w:rPr>
            <w:t xml:space="preserve"> </w:t>
          </w:r>
          <w:r>
            <w:rPr>
              <w:rFonts w:hint="eastAsia"/>
              <w:sz w:val="24"/>
              <w:szCs w:val="24"/>
            </w:rPr>
            <w:t xml:space="preserve">合  同 </w:t>
          </w:r>
          <w:r>
            <w:rPr>
              <w:sz w:val="24"/>
              <w:szCs w:val="24"/>
            </w:rPr>
            <w:t xml:space="preserve"> </w:t>
          </w:r>
          <w:r>
            <w:rPr>
              <w:rFonts w:hint="eastAsia"/>
              <w:sz w:val="24"/>
              <w:szCs w:val="24"/>
            </w:rPr>
            <w:t>书</w:t>
          </w:r>
        </w:p>
      </w:tc>
    </w:tr>
  </w:tbl>
  <w:p w14:paraId="68A9AD12">
    <w:pPr>
      <w:pStyle w:val="4"/>
      <w:pBdr>
        <w:bottom w:val="none" w:color="auto" w:sz="0" w:space="0"/>
      </w:pBd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01C08"/>
    <w:multiLevelType w:val="multilevel"/>
    <w:tmpl w:val="0C401C08"/>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32038C"/>
    <w:multiLevelType w:val="multilevel"/>
    <w:tmpl w:val="1F32038C"/>
    <w:lvl w:ilvl="0" w:tentative="0">
      <w:start w:val="1"/>
      <w:numFmt w:val="decimal"/>
      <w:lvlText w:val="%1)"/>
      <w:lvlJc w:val="left"/>
      <w:pPr>
        <w:ind w:left="127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C333F4"/>
    <w:multiLevelType w:val="multilevel"/>
    <w:tmpl w:val="4BC333F4"/>
    <w:lvl w:ilvl="0" w:tentative="0">
      <w:start w:val="4"/>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E6955A3"/>
    <w:multiLevelType w:val="multilevel"/>
    <w:tmpl w:val="4E6955A3"/>
    <w:lvl w:ilvl="0" w:tentative="0">
      <w:start w:val="1"/>
      <w:numFmt w:val="decimal"/>
      <w:suff w:val="nothing"/>
      <w:lvlText w:val="%1."/>
      <w:lvlJc w:val="left"/>
      <w:pPr>
        <w:ind w:left="1554"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6B7354"/>
    <w:multiLevelType w:val="multilevel"/>
    <w:tmpl w:val="4F6B73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814FC5"/>
    <w:multiLevelType w:val="multilevel"/>
    <w:tmpl w:val="5E814FC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6B1847"/>
    <w:multiLevelType w:val="multilevel"/>
    <w:tmpl w:val="686B18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3D1B91"/>
    <w:multiLevelType w:val="multilevel"/>
    <w:tmpl w:val="6D3D1B91"/>
    <w:lvl w:ilvl="0" w:tentative="0">
      <w:start w:val="4"/>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7D807353"/>
    <w:multiLevelType w:val="multilevel"/>
    <w:tmpl w:val="7D807353"/>
    <w:lvl w:ilvl="0" w:tentative="0">
      <w:start w:val="1"/>
      <w:numFmt w:val="decimal"/>
      <w:lvlText w:val="%1."/>
      <w:lvlJc w:val="left"/>
      <w:pPr>
        <w:ind w:left="1586" w:hanging="420"/>
      </w:pPr>
      <w:rPr>
        <w:rFonts w:hint="eastAsia"/>
      </w:rPr>
    </w:lvl>
    <w:lvl w:ilvl="1" w:tentative="0">
      <w:start w:val="1"/>
      <w:numFmt w:val="decimal"/>
      <w:lvlText w:val="%2."/>
      <w:lvlJc w:val="left"/>
      <w:pPr>
        <w:ind w:left="1405" w:hanging="420"/>
      </w:pPr>
      <w:rPr>
        <w:rFonts w:hint="eastAsia"/>
      </w:r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num w:numId="1">
    <w:abstractNumId w:val="7"/>
  </w:num>
  <w:num w:numId="2">
    <w:abstractNumId w:val="2"/>
  </w:num>
  <w:num w:numId="3">
    <w:abstractNumId w:val="8"/>
  </w:num>
  <w:num w:numId="4">
    <w:abstractNumId w:val="6"/>
  </w:num>
  <w:num w:numId="5">
    <w:abstractNumId w:val="1"/>
  </w:num>
  <w:num w:numId="6">
    <w:abstractNumId w:val="4"/>
  </w:num>
  <w:num w:numId="7">
    <w:abstractNumId w:val="3"/>
  </w:num>
  <w:num w:numId="8">
    <w:abstractNumId w:val="5"/>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1D"/>
    <w:rsid w:val="00003006"/>
    <w:rsid w:val="000119AA"/>
    <w:rsid w:val="00013993"/>
    <w:rsid w:val="000143C4"/>
    <w:rsid w:val="00015B56"/>
    <w:rsid w:val="0002096B"/>
    <w:rsid w:val="00022954"/>
    <w:rsid w:val="000327F0"/>
    <w:rsid w:val="00033887"/>
    <w:rsid w:val="00041BFB"/>
    <w:rsid w:val="00044C6E"/>
    <w:rsid w:val="00046BFE"/>
    <w:rsid w:val="000512D6"/>
    <w:rsid w:val="00054F74"/>
    <w:rsid w:val="00055EC5"/>
    <w:rsid w:val="000568E1"/>
    <w:rsid w:val="00057287"/>
    <w:rsid w:val="000619F7"/>
    <w:rsid w:val="000627F6"/>
    <w:rsid w:val="00070B57"/>
    <w:rsid w:val="00072E74"/>
    <w:rsid w:val="00073FA8"/>
    <w:rsid w:val="00087E60"/>
    <w:rsid w:val="000917D7"/>
    <w:rsid w:val="000B1968"/>
    <w:rsid w:val="000C06AB"/>
    <w:rsid w:val="000C0C47"/>
    <w:rsid w:val="000C2E96"/>
    <w:rsid w:val="000C4C3A"/>
    <w:rsid w:val="000D42A6"/>
    <w:rsid w:val="000F43CE"/>
    <w:rsid w:val="001006FD"/>
    <w:rsid w:val="001058B4"/>
    <w:rsid w:val="0010692F"/>
    <w:rsid w:val="001100CE"/>
    <w:rsid w:val="00110959"/>
    <w:rsid w:val="00112BA8"/>
    <w:rsid w:val="00114133"/>
    <w:rsid w:val="00123495"/>
    <w:rsid w:val="00130FD7"/>
    <w:rsid w:val="001324E9"/>
    <w:rsid w:val="00145B56"/>
    <w:rsid w:val="00146DBA"/>
    <w:rsid w:val="00150EF5"/>
    <w:rsid w:val="00152ED3"/>
    <w:rsid w:val="001573F2"/>
    <w:rsid w:val="00161507"/>
    <w:rsid w:val="00172A27"/>
    <w:rsid w:val="00177F79"/>
    <w:rsid w:val="00181975"/>
    <w:rsid w:val="00184467"/>
    <w:rsid w:val="00192185"/>
    <w:rsid w:val="00197499"/>
    <w:rsid w:val="001A3CFE"/>
    <w:rsid w:val="001A3EA8"/>
    <w:rsid w:val="001B15F3"/>
    <w:rsid w:val="001B4863"/>
    <w:rsid w:val="001B4F9A"/>
    <w:rsid w:val="001C3C2D"/>
    <w:rsid w:val="001C5416"/>
    <w:rsid w:val="001C700E"/>
    <w:rsid w:val="001D2B09"/>
    <w:rsid w:val="001D49EE"/>
    <w:rsid w:val="001D7E6F"/>
    <w:rsid w:val="001E1C6A"/>
    <w:rsid w:val="001E58F9"/>
    <w:rsid w:val="001E7205"/>
    <w:rsid w:val="001F22D0"/>
    <w:rsid w:val="0020738B"/>
    <w:rsid w:val="00213C52"/>
    <w:rsid w:val="00221A4C"/>
    <w:rsid w:val="002227F9"/>
    <w:rsid w:val="0023679D"/>
    <w:rsid w:val="002541F8"/>
    <w:rsid w:val="00256B7D"/>
    <w:rsid w:val="00257097"/>
    <w:rsid w:val="00263647"/>
    <w:rsid w:val="00265FAD"/>
    <w:rsid w:val="00275560"/>
    <w:rsid w:val="00284DCD"/>
    <w:rsid w:val="00286672"/>
    <w:rsid w:val="00290D47"/>
    <w:rsid w:val="00293430"/>
    <w:rsid w:val="002C0455"/>
    <w:rsid w:val="002C0A25"/>
    <w:rsid w:val="002C3810"/>
    <w:rsid w:val="002C3D76"/>
    <w:rsid w:val="002D4A8A"/>
    <w:rsid w:val="002D784E"/>
    <w:rsid w:val="002E6398"/>
    <w:rsid w:val="002F08FA"/>
    <w:rsid w:val="002F4A5E"/>
    <w:rsid w:val="00304ABD"/>
    <w:rsid w:val="003062CF"/>
    <w:rsid w:val="003065DE"/>
    <w:rsid w:val="0030681F"/>
    <w:rsid w:val="003103AC"/>
    <w:rsid w:val="003105FC"/>
    <w:rsid w:val="00311492"/>
    <w:rsid w:val="00317C9B"/>
    <w:rsid w:val="0032334C"/>
    <w:rsid w:val="003239C0"/>
    <w:rsid w:val="00334E3E"/>
    <w:rsid w:val="00351C89"/>
    <w:rsid w:val="00355E9E"/>
    <w:rsid w:val="003630D8"/>
    <w:rsid w:val="003632C4"/>
    <w:rsid w:val="00367139"/>
    <w:rsid w:val="003677AF"/>
    <w:rsid w:val="00376B33"/>
    <w:rsid w:val="00383997"/>
    <w:rsid w:val="00386B86"/>
    <w:rsid w:val="003906E4"/>
    <w:rsid w:val="00391ACF"/>
    <w:rsid w:val="00391CF6"/>
    <w:rsid w:val="00392AAC"/>
    <w:rsid w:val="003954CC"/>
    <w:rsid w:val="003A2715"/>
    <w:rsid w:val="003A3E6C"/>
    <w:rsid w:val="003B2A04"/>
    <w:rsid w:val="003B5B36"/>
    <w:rsid w:val="003C281E"/>
    <w:rsid w:val="003C2CD6"/>
    <w:rsid w:val="003C39ED"/>
    <w:rsid w:val="003C5639"/>
    <w:rsid w:val="003D5755"/>
    <w:rsid w:val="003D6A38"/>
    <w:rsid w:val="003D79CA"/>
    <w:rsid w:val="003E099A"/>
    <w:rsid w:val="003E309A"/>
    <w:rsid w:val="003E40A6"/>
    <w:rsid w:val="003F3FA6"/>
    <w:rsid w:val="00401633"/>
    <w:rsid w:val="0040351D"/>
    <w:rsid w:val="00416772"/>
    <w:rsid w:val="00427916"/>
    <w:rsid w:val="00427942"/>
    <w:rsid w:val="00433012"/>
    <w:rsid w:val="00435FC3"/>
    <w:rsid w:val="00442B0B"/>
    <w:rsid w:val="004451F1"/>
    <w:rsid w:val="00451CC2"/>
    <w:rsid w:val="004527E6"/>
    <w:rsid w:val="00454338"/>
    <w:rsid w:val="0046096F"/>
    <w:rsid w:val="00461998"/>
    <w:rsid w:val="00464964"/>
    <w:rsid w:val="0046690C"/>
    <w:rsid w:val="00466D1C"/>
    <w:rsid w:val="00473216"/>
    <w:rsid w:val="00474F70"/>
    <w:rsid w:val="004767B1"/>
    <w:rsid w:val="004778A7"/>
    <w:rsid w:val="0048148C"/>
    <w:rsid w:val="004868E6"/>
    <w:rsid w:val="00492F64"/>
    <w:rsid w:val="00493D52"/>
    <w:rsid w:val="0049687C"/>
    <w:rsid w:val="004A796D"/>
    <w:rsid w:val="004B16BE"/>
    <w:rsid w:val="004D09DF"/>
    <w:rsid w:val="004D6C4F"/>
    <w:rsid w:val="004E435F"/>
    <w:rsid w:val="004E4722"/>
    <w:rsid w:val="004E5160"/>
    <w:rsid w:val="004E783E"/>
    <w:rsid w:val="00501955"/>
    <w:rsid w:val="005116E0"/>
    <w:rsid w:val="00512ADE"/>
    <w:rsid w:val="00520C00"/>
    <w:rsid w:val="00525FF6"/>
    <w:rsid w:val="005540A9"/>
    <w:rsid w:val="005642AF"/>
    <w:rsid w:val="00565752"/>
    <w:rsid w:val="0057093A"/>
    <w:rsid w:val="005820A0"/>
    <w:rsid w:val="005874BD"/>
    <w:rsid w:val="00592A47"/>
    <w:rsid w:val="0059359D"/>
    <w:rsid w:val="00594673"/>
    <w:rsid w:val="005A0FEA"/>
    <w:rsid w:val="005A1C41"/>
    <w:rsid w:val="005A61DB"/>
    <w:rsid w:val="005B1F3B"/>
    <w:rsid w:val="005B3C4D"/>
    <w:rsid w:val="005C21B1"/>
    <w:rsid w:val="005C6E65"/>
    <w:rsid w:val="005F590B"/>
    <w:rsid w:val="0060012C"/>
    <w:rsid w:val="006021F4"/>
    <w:rsid w:val="00602FB5"/>
    <w:rsid w:val="00611E02"/>
    <w:rsid w:val="00613F40"/>
    <w:rsid w:val="006149EF"/>
    <w:rsid w:val="00617359"/>
    <w:rsid w:val="0062160E"/>
    <w:rsid w:val="006275A6"/>
    <w:rsid w:val="00630A53"/>
    <w:rsid w:val="00630E6B"/>
    <w:rsid w:val="006361E4"/>
    <w:rsid w:val="00636B9E"/>
    <w:rsid w:val="00643123"/>
    <w:rsid w:val="0065068F"/>
    <w:rsid w:val="006538D6"/>
    <w:rsid w:val="00660A06"/>
    <w:rsid w:val="00665C89"/>
    <w:rsid w:val="0067471F"/>
    <w:rsid w:val="00675048"/>
    <w:rsid w:val="0068304C"/>
    <w:rsid w:val="006843EC"/>
    <w:rsid w:val="00687FA8"/>
    <w:rsid w:val="006950AD"/>
    <w:rsid w:val="0069558D"/>
    <w:rsid w:val="006A1D55"/>
    <w:rsid w:val="006A569F"/>
    <w:rsid w:val="006B0B87"/>
    <w:rsid w:val="006B31BA"/>
    <w:rsid w:val="006B7882"/>
    <w:rsid w:val="006C3B34"/>
    <w:rsid w:val="006C4198"/>
    <w:rsid w:val="006C6EE7"/>
    <w:rsid w:val="006D2317"/>
    <w:rsid w:val="006D2B9B"/>
    <w:rsid w:val="006E6BFA"/>
    <w:rsid w:val="006E7917"/>
    <w:rsid w:val="006F1DE0"/>
    <w:rsid w:val="006F51D9"/>
    <w:rsid w:val="006F6012"/>
    <w:rsid w:val="006F7603"/>
    <w:rsid w:val="007053C0"/>
    <w:rsid w:val="007063F0"/>
    <w:rsid w:val="00707CA4"/>
    <w:rsid w:val="00707FE5"/>
    <w:rsid w:val="00710CEA"/>
    <w:rsid w:val="0071475B"/>
    <w:rsid w:val="00716B87"/>
    <w:rsid w:val="00716C67"/>
    <w:rsid w:val="00720C7C"/>
    <w:rsid w:val="007262E9"/>
    <w:rsid w:val="00730961"/>
    <w:rsid w:val="00750DBE"/>
    <w:rsid w:val="0075236F"/>
    <w:rsid w:val="007543CD"/>
    <w:rsid w:val="0075669B"/>
    <w:rsid w:val="00784113"/>
    <w:rsid w:val="007854A6"/>
    <w:rsid w:val="00787B2D"/>
    <w:rsid w:val="0079055C"/>
    <w:rsid w:val="007A1B1E"/>
    <w:rsid w:val="007A3963"/>
    <w:rsid w:val="007A5166"/>
    <w:rsid w:val="007B051E"/>
    <w:rsid w:val="007B060B"/>
    <w:rsid w:val="007B0CD6"/>
    <w:rsid w:val="007B1ECA"/>
    <w:rsid w:val="007C1D5B"/>
    <w:rsid w:val="007C46E7"/>
    <w:rsid w:val="007C62CB"/>
    <w:rsid w:val="007D0547"/>
    <w:rsid w:val="007D1D16"/>
    <w:rsid w:val="007D2401"/>
    <w:rsid w:val="007D44DE"/>
    <w:rsid w:val="007E452A"/>
    <w:rsid w:val="007F3831"/>
    <w:rsid w:val="007F3E23"/>
    <w:rsid w:val="007F7EE8"/>
    <w:rsid w:val="00806A29"/>
    <w:rsid w:val="00813D83"/>
    <w:rsid w:val="00820419"/>
    <w:rsid w:val="00824917"/>
    <w:rsid w:val="00834276"/>
    <w:rsid w:val="008362B8"/>
    <w:rsid w:val="008425B6"/>
    <w:rsid w:val="0084467B"/>
    <w:rsid w:val="0084780D"/>
    <w:rsid w:val="00855E9C"/>
    <w:rsid w:val="0085607E"/>
    <w:rsid w:val="0087347F"/>
    <w:rsid w:val="0087602A"/>
    <w:rsid w:val="00887408"/>
    <w:rsid w:val="00893924"/>
    <w:rsid w:val="008A48F7"/>
    <w:rsid w:val="008A4A64"/>
    <w:rsid w:val="008A4ED8"/>
    <w:rsid w:val="008A6C87"/>
    <w:rsid w:val="008B509A"/>
    <w:rsid w:val="008B7C20"/>
    <w:rsid w:val="008C20F6"/>
    <w:rsid w:val="008D4C3E"/>
    <w:rsid w:val="008D7813"/>
    <w:rsid w:val="008E54D1"/>
    <w:rsid w:val="008E6AA2"/>
    <w:rsid w:val="00904B9A"/>
    <w:rsid w:val="00904FB1"/>
    <w:rsid w:val="00910533"/>
    <w:rsid w:val="009128D6"/>
    <w:rsid w:val="00914BBA"/>
    <w:rsid w:val="009153E8"/>
    <w:rsid w:val="00915E47"/>
    <w:rsid w:val="009251AD"/>
    <w:rsid w:val="0092786B"/>
    <w:rsid w:val="00934558"/>
    <w:rsid w:val="009374DF"/>
    <w:rsid w:val="00937887"/>
    <w:rsid w:val="00942AFF"/>
    <w:rsid w:val="00947B19"/>
    <w:rsid w:val="00953425"/>
    <w:rsid w:val="00957EB5"/>
    <w:rsid w:val="00961290"/>
    <w:rsid w:val="00964265"/>
    <w:rsid w:val="009651FD"/>
    <w:rsid w:val="00966DDD"/>
    <w:rsid w:val="00975A1D"/>
    <w:rsid w:val="00976E88"/>
    <w:rsid w:val="009908B6"/>
    <w:rsid w:val="00990DB3"/>
    <w:rsid w:val="00996AFA"/>
    <w:rsid w:val="009A2F46"/>
    <w:rsid w:val="009A3774"/>
    <w:rsid w:val="009A5B74"/>
    <w:rsid w:val="009A72AC"/>
    <w:rsid w:val="009A76EF"/>
    <w:rsid w:val="009D27FE"/>
    <w:rsid w:val="009E04BC"/>
    <w:rsid w:val="009E30BF"/>
    <w:rsid w:val="009F3585"/>
    <w:rsid w:val="009F4BAD"/>
    <w:rsid w:val="009F7B63"/>
    <w:rsid w:val="00A0608E"/>
    <w:rsid w:val="00A13265"/>
    <w:rsid w:val="00A14974"/>
    <w:rsid w:val="00A158DF"/>
    <w:rsid w:val="00A40A31"/>
    <w:rsid w:val="00A44622"/>
    <w:rsid w:val="00A51560"/>
    <w:rsid w:val="00A633ED"/>
    <w:rsid w:val="00A659AE"/>
    <w:rsid w:val="00A7174E"/>
    <w:rsid w:val="00A76BD0"/>
    <w:rsid w:val="00A7748B"/>
    <w:rsid w:val="00A87B25"/>
    <w:rsid w:val="00A9254F"/>
    <w:rsid w:val="00A92A5B"/>
    <w:rsid w:val="00A92B39"/>
    <w:rsid w:val="00A95193"/>
    <w:rsid w:val="00AA1252"/>
    <w:rsid w:val="00AB1F7A"/>
    <w:rsid w:val="00AB25E5"/>
    <w:rsid w:val="00AB2A3D"/>
    <w:rsid w:val="00AB2D32"/>
    <w:rsid w:val="00AB6027"/>
    <w:rsid w:val="00AB77FE"/>
    <w:rsid w:val="00AC581F"/>
    <w:rsid w:val="00AC6BAB"/>
    <w:rsid w:val="00AD1AA7"/>
    <w:rsid w:val="00AE0C61"/>
    <w:rsid w:val="00AE240A"/>
    <w:rsid w:val="00AE6660"/>
    <w:rsid w:val="00AF3C6B"/>
    <w:rsid w:val="00B02BAB"/>
    <w:rsid w:val="00B04ADE"/>
    <w:rsid w:val="00B04DE8"/>
    <w:rsid w:val="00B06994"/>
    <w:rsid w:val="00B1319A"/>
    <w:rsid w:val="00B13938"/>
    <w:rsid w:val="00B15FC8"/>
    <w:rsid w:val="00B218E8"/>
    <w:rsid w:val="00B21DFF"/>
    <w:rsid w:val="00B243EC"/>
    <w:rsid w:val="00B33060"/>
    <w:rsid w:val="00B33B93"/>
    <w:rsid w:val="00B37D33"/>
    <w:rsid w:val="00B414AC"/>
    <w:rsid w:val="00B44B87"/>
    <w:rsid w:val="00B52E72"/>
    <w:rsid w:val="00B76AF9"/>
    <w:rsid w:val="00B85E08"/>
    <w:rsid w:val="00B9323F"/>
    <w:rsid w:val="00BA1501"/>
    <w:rsid w:val="00BA1600"/>
    <w:rsid w:val="00BA2FBD"/>
    <w:rsid w:val="00BA4001"/>
    <w:rsid w:val="00BA741D"/>
    <w:rsid w:val="00BC071A"/>
    <w:rsid w:val="00BC4CE4"/>
    <w:rsid w:val="00BD1636"/>
    <w:rsid w:val="00BD2047"/>
    <w:rsid w:val="00BD2994"/>
    <w:rsid w:val="00BD2E69"/>
    <w:rsid w:val="00BD57FC"/>
    <w:rsid w:val="00BD5849"/>
    <w:rsid w:val="00BD6E8A"/>
    <w:rsid w:val="00BE1840"/>
    <w:rsid w:val="00BE354D"/>
    <w:rsid w:val="00BE6492"/>
    <w:rsid w:val="00BF4023"/>
    <w:rsid w:val="00C02938"/>
    <w:rsid w:val="00C05FF5"/>
    <w:rsid w:val="00C06263"/>
    <w:rsid w:val="00C0640B"/>
    <w:rsid w:val="00C11B6A"/>
    <w:rsid w:val="00C1441A"/>
    <w:rsid w:val="00C169EE"/>
    <w:rsid w:val="00C239A6"/>
    <w:rsid w:val="00C26A25"/>
    <w:rsid w:val="00C30DFD"/>
    <w:rsid w:val="00C32E6B"/>
    <w:rsid w:val="00C415AA"/>
    <w:rsid w:val="00C47585"/>
    <w:rsid w:val="00C505B8"/>
    <w:rsid w:val="00C55135"/>
    <w:rsid w:val="00C64F1E"/>
    <w:rsid w:val="00C65927"/>
    <w:rsid w:val="00C71863"/>
    <w:rsid w:val="00C73281"/>
    <w:rsid w:val="00C7350B"/>
    <w:rsid w:val="00C755E1"/>
    <w:rsid w:val="00C820DC"/>
    <w:rsid w:val="00C910B1"/>
    <w:rsid w:val="00C91E7F"/>
    <w:rsid w:val="00C92D93"/>
    <w:rsid w:val="00CA0185"/>
    <w:rsid w:val="00CA40E7"/>
    <w:rsid w:val="00CC074B"/>
    <w:rsid w:val="00CC6EE8"/>
    <w:rsid w:val="00CC71C8"/>
    <w:rsid w:val="00CC7CAE"/>
    <w:rsid w:val="00CD6A9C"/>
    <w:rsid w:val="00CE1FCA"/>
    <w:rsid w:val="00CF36BF"/>
    <w:rsid w:val="00D00BD2"/>
    <w:rsid w:val="00D02113"/>
    <w:rsid w:val="00D07201"/>
    <w:rsid w:val="00D155E6"/>
    <w:rsid w:val="00D21BCC"/>
    <w:rsid w:val="00D220CD"/>
    <w:rsid w:val="00D2481E"/>
    <w:rsid w:val="00D3323C"/>
    <w:rsid w:val="00D347DE"/>
    <w:rsid w:val="00D35377"/>
    <w:rsid w:val="00D36A1E"/>
    <w:rsid w:val="00D3780C"/>
    <w:rsid w:val="00D461DC"/>
    <w:rsid w:val="00D51977"/>
    <w:rsid w:val="00D55F40"/>
    <w:rsid w:val="00D560C0"/>
    <w:rsid w:val="00D611AA"/>
    <w:rsid w:val="00D61C57"/>
    <w:rsid w:val="00D63C57"/>
    <w:rsid w:val="00D64174"/>
    <w:rsid w:val="00D66173"/>
    <w:rsid w:val="00D74A7F"/>
    <w:rsid w:val="00D75FF3"/>
    <w:rsid w:val="00D825B3"/>
    <w:rsid w:val="00D90C62"/>
    <w:rsid w:val="00D94820"/>
    <w:rsid w:val="00D95DE1"/>
    <w:rsid w:val="00D965DF"/>
    <w:rsid w:val="00DA535B"/>
    <w:rsid w:val="00DA56A8"/>
    <w:rsid w:val="00DA6978"/>
    <w:rsid w:val="00DB08E0"/>
    <w:rsid w:val="00DB1B59"/>
    <w:rsid w:val="00DB243A"/>
    <w:rsid w:val="00DB340A"/>
    <w:rsid w:val="00DB3D21"/>
    <w:rsid w:val="00DC1E03"/>
    <w:rsid w:val="00DC377A"/>
    <w:rsid w:val="00DC5FEA"/>
    <w:rsid w:val="00DD1605"/>
    <w:rsid w:val="00DD7D5D"/>
    <w:rsid w:val="00DE34CE"/>
    <w:rsid w:val="00DF370A"/>
    <w:rsid w:val="00E00ADE"/>
    <w:rsid w:val="00E06FA3"/>
    <w:rsid w:val="00E1362F"/>
    <w:rsid w:val="00E150C4"/>
    <w:rsid w:val="00E172CE"/>
    <w:rsid w:val="00E20554"/>
    <w:rsid w:val="00E233B7"/>
    <w:rsid w:val="00E266AC"/>
    <w:rsid w:val="00E346BF"/>
    <w:rsid w:val="00E37467"/>
    <w:rsid w:val="00E4343E"/>
    <w:rsid w:val="00E4623A"/>
    <w:rsid w:val="00E47477"/>
    <w:rsid w:val="00E4794E"/>
    <w:rsid w:val="00E50AC4"/>
    <w:rsid w:val="00E51B91"/>
    <w:rsid w:val="00E51BBE"/>
    <w:rsid w:val="00E52A64"/>
    <w:rsid w:val="00E54ACE"/>
    <w:rsid w:val="00E56FF3"/>
    <w:rsid w:val="00E572E1"/>
    <w:rsid w:val="00E63F5F"/>
    <w:rsid w:val="00E66BC0"/>
    <w:rsid w:val="00E67E0F"/>
    <w:rsid w:val="00E737D1"/>
    <w:rsid w:val="00E76A36"/>
    <w:rsid w:val="00E862EA"/>
    <w:rsid w:val="00EA3431"/>
    <w:rsid w:val="00EA5B4E"/>
    <w:rsid w:val="00EB2CA5"/>
    <w:rsid w:val="00EB332F"/>
    <w:rsid w:val="00EB5074"/>
    <w:rsid w:val="00EC1EA2"/>
    <w:rsid w:val="00EC452A"/>
    <w:rsid w:val="00EC6B00"/>
    <w:rsid w:val="00ED14EF"/>
    <w:rsid w:val="00ED5552"/>
    <w:rsid w:val="00EE69FD"/>
    <w:rsid w:val="00EF5DBA"/>
    <w:rsid w:val="00F10242"/>
    <w:rsid w:val="00F10360"/>
    <w:rsid w:val="00F15A50"/>
    <w:rsid w:val="00F1642A"/>
    <w:rsid w:val="00F3730E"/>
    <w:rsid w:val="00F40054"/>
    <w:rsid w:val="00F4067A"/>
    <w:rsid w:val="00F4538F"/>
    <w:rsid w:val="00F510AC"/>
    <w:rsid w:val="00F5361C"/>
    <w:rsid w:val="00F605C7"/>
    <w:rsid w:val="00F65FC2"/>
    <w:rsid w:val="00F71DBC"/>
    <w:rsid w:val="00F74872"/>
    <w:rsid w:val="00F83F86"/>
    <w:rsid w:val="00F86244"/>
    <w:rsid w:val="00F87A07"/>
    <w:rsid w:val="00F9030D"/>
    <w:rsid w:val="00F91B3C"/>
    <w:rsid w:val="00F92935"/>
    <w:rsid w:val="00F94A39"/>
    <w:rsid w:val="00FA1270"/>
    <w:rsid w:val="00FB3D68"/>
    <w:rsid w:val="00FB4263"/>
    <w:rsid w:val="00FB5DA6"/>
    <w:rsid w:val="00FC0671"/>
    <w:rsid w:val="00FC1117"/>
    <w:rsid w:val="00FC5484"/>
    <w:rsid w:val="00FD07B3"/>
    <w:rsid w:val="00FD5F9E"/>
    <w:rsid w:val="00FE1E23"/>
    <w:rsid w:val="00FF1765"/>
    <w:rsid w:val="00FF19FB"/>
    <w:rsid w:val="00FF5CF5"/>
    <w:rsid w:val="00FF5DB9"/>
    <w:rsid w:val="02F30E4B"/>
    <w:rsid w:val="03A976EA"/>
    <w:rsid w:val="044824C5"/>
    <w:rsid w:val="113E3152"/>
    <w:rsid w:val="1366404C"/>
    <w:rsid w:val="162F66E8"/>
    <w:rsid w:val="1831411D"/>
    <w:rsid w:val="1AC61E73"/>
    <w:rsid w:val="1D64046B"/>
    <w:rsid w:val="1EA0604E"/>
    <w:rsid w:val="1F516EA0"/>
    <w:rsid w:val="2C52578E"/>
    <w:rsid w:val="34C6074E"/>
    <w:rsid w:val="353040E5"/>
    <w:rsid w:val="3F122560"/>
    <w:rsid w:val="40424C44"/>
    <w:rsid w:val="58607880"/>
    <w:rsid w:val="5E620943"/>
    <w:rsid w:val="650D5092"/>
    <w:rsid w:val="65BA751C"/>
    <w:rsid w:val="66197ECF"/>
    <w:rsid w:val="67DF3AD0"/>
    <w:rsid w:val="6B0E6B3C"/>
    <w:rsid w:val="748C3B60"/>
    <w:rsid w:val="75171193"/>
    <w:rsid w:val="7CDB1B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nhideWhenUsed/>
    <w:qFormat/>
    <w:uiPriority w:val="99"/>
    <w:pPr>
      <w:spacing w:line="240" w:lineRule="auto"/>
    </w:pPr>
    <w:rPr>
      <w:sz w:val="18"/>
      <w:szCs w:val="18"/>
    </w:rPr>
  </w:style>
  <w:style w:type="paragraph" w:styleId="3">
    <w:name w:val="footer"/>
    <w:basedOn w:val="1"/>
    <w:link w:val="10"/>
    <w:qFormat/>
    <w:uiPriority w:val="0"/>
    <w:pPr>
      <w:tabs>
        <w:tab w:val="center" w:pos="4153"/>
        <w:tab w:val="right" w:pos="8306"/>
      </w:tabs>
      <w:spacing w:line="240" w:lineRule="atLeast"/>
      <w:jc w:val="left"/>
    </w:pPr>
    <w:rPr>
      <w:sz w:val="18"/>
    </w:rPr>
  </w:style>
  <w:style w:type="paragraph" w:styleId="4">
    <w:name w:val="header"/>
    <w:basedOn w:val="1"/>
    <w:link w:val="11"/>
    <w:qFormat/>
    <w:uiPriority w:val="0"/>
    <w:pPr>
      <w:pBdr>
        <w:bottom w:val="single" w:color="auto" w:sz="6" w:space="1"/>
      </w:pBdr>
      <w:tabs>
        <w:tab w:val="center" w:pos="4153"/>
        <w:tab w:val="right" w:pos="8306"/>
      </w:tabs>
      <w:spacing w:line="240" w:lineRule="atLeast"/>
      <w:jc w:val="center"/>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页脚 字符"/>
    <w:link w:val="3"/>
    <w:qFormat/>
    <w:uiPriority w:val="99"/>
    <w:rPr>
      <w:sz w:val="18"/>
    </w:rPr>
  </w:style>
  <w:style w:type="character" w:customStyle="1" w:styleId="11">
    <w:name w:val="页眉 字符"/>
    <w:link w:val="4"/>
    <w:qFormat/>
    <w:uiPriority w:val="0"/>
    <w:rPr>
      <w:sz w:val="18"/>
    </w:rPr>
  </w:style>
  <w:style w:type="character" w:customStyle="1" w:styleId="12">
    <w:name w:val="批注框文本 字符"/>
    <w:link w:val="2"/>
    <w:semiHidden/>
    <w:uiPriority w:val="99"/>
    <w:rPr>
      <w:sz w:val="18"/>
      <w:szCs w:val="18"/>
    </w:rPr>
  </w:style>
  <w:style w:type="paragraph" w:customStyle="1" w:styleId="13">
    <w:name w:val="批注框文本 Char Char"/>
    <w:basedOn w:val="1"/>
    <w:qFormat/>
    <w:uiPriority w:val="0"/>
    <w:rPr>
      <w:sz w:val="18"/>
      <w:szCs w:val="18"/>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5">
    <w:name w:val="List Paragraph"/>
    <w:basedOn w:val="1"/>
    <w:unhideWhenUsed/>
    <w:qFormat/>
    <w:uiPriority w:val="99"/>
    <w:pPr>
      <w:widowControl/>
      <w:adjustRightInd/>
      <w:spacing w:line="240" w:lineRule="auto"/>
      <w:ind w:firstLine="420" w:firstLineChars="200"/>
      <w:jc w:val="left"/>
      <w:textAlignment w:val="auto"/>
    </w:pPr>
    <w:rPr>
      <w:rFonts w:ascii="Times New Roman" w:hAnsi="Times New Roman"/>
      <w:sz w:val="20"/>
    </w:rPr>
  </w:style>
  <w:style w:type="paragraph" w:customStyle="1" w:styleId="1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
    <w:name w:val="修订1"/>
    <w:hidden/>
    <w:semiHidden/>
    <w:qFormat/>
    <w:uiPriority w:val="99"/>
    <w:rPr>
      <w:rFonts w:ascii="Calibri" w:hAnsi="Calibri" w:eastAsia="宋体" w:cs="Times New Roman"/>
      <w:sz w:val="21"/>
      <w:lang w:val="en-US" w:eastAsia="zh-CN" w:bidi="ar-SA"/>
    </w:rPr>
  </w:style>
  <w:style w:type="paragraph" w:customStyle="1" w:styleId="18">
    <w:name w:val="修订2"/>
    <w:hidden/>
    <w:unhideWhenUsed/>
    <w:qFormat/>
    <w:uiPriority w:val="99"/>
    <w:rPr>
      <w:rFonts w:ascii="Calibri" w:hAnsi="Calibri" w:eastAsia="宋体" w:cs="Times New Roman"/>
      <w:sz w:val="21"/>
      <w:lang w:val="en-US" w:eastAsia="zh-CN" w:bidi="ar-SA"/>
    </w:rPr>
  </w:style>
  <w:style w:type="paragraph" w:customStyle="1" w:styleId="19">
    <w:name w:val="Revision"/>
    <w:hidden/>
    <w:unhideWhenUsed/>
    <w:qFormat/>
    <w:uiPriority w:val="99"/>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2593</Words>
  <Characters>2756</Characters>
  <Lines>24</Lines>
  <Paragraphs>6</Paragraphs>
  <TotalTime>1</TotalTime>
  <ScaleCrop>false</ScaleCrop>
  <LinksUpToDate>false</LinksUpToDate>
  <CharactersWithSpaces>3225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2020-09-03T05:15:00Z</dcterms:created>
  <dc:creator>ibm</dc:creator>
  <cp:lastModifiedBy>wendy林</cp:lastModifiedBy>
  <cp:lastPrinted>2017-03-02T06:13:00Z</cp:lastPrinted>
  <dcterms:modified xsi:type="dcterms:W3CDTF">2026-05-19T08:03:13Z</dcterms:modified>
  <dc:title>C C L Q</dc:title>
  <cp:revision>621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eyJoZGlkIjoiN2RmZDNkMTBiMDQzYzIxNmM4OWUyYTRjOTI3Y2E4NWUiLCJ1c2VySWQiOiI0MDI1MTQwNTkifQ==</vt:lpwstr>
  </property>
  <property fmtid="{D5CDD505-2E9C-101B-9397-08002B2CF9AE}" pid="4" name="ICV">
    <vt:lpwstr>AF45083FD5764516A467CF248A4BF16E_13</vt:lpwstr>
  </property>
</Properties>
</file>